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801" w:type="dxa"/>
        <w:tblInd w:w="93" w:type="dxa"/>
        <w:tblLayout w:type="fixed"/>
        <w:tblCellMar>
          <w:top w:w="0" w:type="dxa"/>
          <w:left w:w="108" w:type="dxa"/>
          <w:bottom w:w="0" w:type="dxa"/>
          <w:right w:w="108" w:type="dxa"/>
        </w:tblCellMar>
      </w:tblPr>
      <w:tblGrid>
        <w:gridCol w:w="735"/>
        <w:gridCol w:w="1215"/>
        <w:gridCol w:w="6615"/>
        <w:gridCol w:w="236"/>
      </w:tblGrid>
      <w:tr>
        <w:tblPrEx>
          <w:tblCellMar>
            <w:top w:w="0" w:type="dxa"/>
            <w:left w:w="108" w:type="dxa"/>
            <w:bottom w:w="0" w:type="dxa"/>
            <w:right w:w="108" w:type="dxa"/>
          </w:tblCellMar>
        </w:tblPrEx>
        <w:trPr>
          <w:trHeight w:val="1184" w:hRule="atLeast"/>
        </w:trPr>
        <w:tc>
          <w:tcPr>
            <w:tcW w:w="8565" w:type="dxa"/>
            <w:gridSpan w:val="3"/>
            <w:tcBorders>
              <w:top w:val="nil"/>
              <w:left w:val="nil"/>
              <w:bottom w:val="nil"/>
              <w:right w:val="nil"/>
            </w:tcBorders>
            <w:shd w:val="clear" w:color="auto" w:fill="auto"/>
            <w:noWrap/>
            <w:vAlign w:val="center"/>
          </w:tcPr>
          <w:p>
            <w:pPr>
              <w:widowControl/>
              <w:spacing w:line="60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太康县应急管理局行政职权目录</w:t>
            </w:r>
            <w:r>
              <w:rPr>
                <w:rFonts w:hint="eastAsia" w:ascii="方正小标宋简体" w:hAnsi="仿宋_GB2312" w:eastAsia="方正小标宋简体" w:cs="仿宋_GB2312"/>
                <w:bCs/>
                <w:kern w:val="0"/>
                <w:sz w:val="44"/>
                <w:szCs w:val="44"/>
              </w:rPr>
              <w:t>（2019）</w:t>
            </w:r>
          </w:p>
          <w:p>
            <w:pPr>
              <w:widowControl/>
              <w:spacing w:line="500" w:lineRule="exact"/>
              <w:jc w:val="center"/>
              <w:rPr>
                <w:rFonts w:ascii="创艺简标宋" w:hAnsi="宋体" w:eastAsia="创艺简标宋" w:cs="宋体"/>
                <w:color w:val="000000"/>
                <w:kern w:val="0"/>
                <w:sz w:val="36"/>
                <w:szCs w:val="36"/>
              </w:rPr>
            </w:pPr>
            <w:r>
              <w:rPr>
                <w:rFonts w:hint="eastAsia" w:ascii="楷体_GB2312" w:hAnsi="楷体_GB2312" w:eastAsia="楷体_GB2312" w:cs="楷体_GB2312"/>
                <w:b/>
                <w:bCs/>
                <w:color w:val="000000"/>
                <w:kern w:val="0"/>
                <w:sz w:val="32"/>
                <w:szCs w:val="32"/>
              </w:rPr>
              <w:t>（共111项）</w:t>
            </w:r>
          </w:p>
        </w:tc>
        <w:tc>
          <w:tcPr>
            <w:tcW w:w="236"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gridAfter w:val="1"/>
          <w:wAfter w:w="236" w:type="dxa"/>
          <w:trHeight w:val="36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黑体" w:hAnsi="黑体" w:eastAsia="黑体" w:cs="黑体"/>
                <w:color w:val="000000"/>
                <w:kern w:val="0"/>
                <w:sz w:val="24"/>
              </w:rPr>
            </w:pPr>
            <w:r>
              <w:rPr>
                <w:rFonts w:hint="eastAsia" w:ascii="黑体" w:hAnsi="黑体" w:eastAsia="黑体" w:cs="黑体"/>
                <w:color w:val="000000"/>
                <w:kern w:val="0"/>
                <w:sz w:val="24"/>
              </w:rPr>
              <w:t>序号</w:t>
            </w:r>
          </w:p>
        </w:tc>
        <w:tc>
          <w:tcPr>
            <w:tcW w:w="1215" w:type="dxa"/>
            <w:vMerge w:val="restart"/>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rPr>
                <w:rFonts w:ascii="黑体" w:hAnsi="黑体" w:eastAsia="黑体" w:cs="黑体"/>
                <w:color w:val="000000"/>
                <w:kern w:val="0"/>
                <w:sz w:val="24"/>
              </w:rPr>
            </w:pPr>
            <w:r>
              <w:rPr>
                <w:rFonts w:hint="eastAsia" w:ascii="黑体" w:hAnsi="黑体" w:eastAsia="黑体" w:cs="黑体"/>
                <w:color w:val="000000"/>
                <w:kern w:val="0"/>
                <w:sz w:val="24"/>
              </w:rPr>
              <w:t>类别</w:t>
            </w:r>
          </w:p>
        </w:tc>
        <w:tc>
          <w:tcPr>
            <w:tcW w:w="6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rPr>
                <w:rFonts w:ascii="黑体" w:hAnsi="黑体" w:eastAsia="黑体" w:cs="黑体"/>
                <w:color w:val="000000"/>
                <w:kern w:val="0"/>
                <w:sz w:val="24"/>
              </w:rPr>
            </w:pPr>
            <w:r>
              <w:rPr>
                <w:rFonts w:hint="eastAsia" w:ascii="黑体" w:hAnsi="黑体" w:eastAsia="黑体" w:cs="黑体"/>
                <w:color w:val="000000"/>
                <w:kern w:val="0"/>
                <w:sz w:val="24"/>
              </w:rPr>
              <w:t>职权名称及数量</w:t>
            </w:r>
          </w:p>
        </w:tc>
      </w:tr>
      <w:tr>
        <w:tblPrEx>
          <w:tblCellMar>
            <w:top w:w="0" w:type="dxa"/>
            <w:left w:w="108" w:type="dxa"/>
            <w:bottom w:w="0" w:type="dxa"/>
            <w:right w:w="108" w:type="dxa"/>
          </w:tblCellMar>
        </w:tblPrEx>
        <w:trPr>
          <w:gridAfter w:val="1"/>
          <w:wAfter w:w="236" w:type="dxa"/>
          <w:trHeight w:val="360" w:hRule="atLeast"/>
        </w:trPr>
        <w:tc>
          <w:tcPr>
            <w:tcW w:w="73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left"/>
              <w:rPr>
                <w:rFonts w:ascii="宋体" w:hAnsi="宋体" w:cs="宋体"/>
                <w:b/>
                <w:bCs/>
                <w:color w:val="000000"/>
                <w:kern w:val="0"/>
                <w:sz w:val="28"/>
                <w:szCs w:val="28"/>
              </w:rPr>
            </w:pPr>
          </w:p>
        </w:tc>
        <w:tc>
          <w:tcPr>
            <w:tcW w:w="1215" w:type="dxa"/>
            <w:vMerge w:val="continue"/>
            <w:tcBorders>
              <w:top w:val="single" w:color="000000" w:sz="4" w:space="0"/>
              <w:left w:val="single" w:color="000000" w:sz="4" w:space="0"/>
              <w:bottom w:val="single" w:color="000000" w:sz="4" w:space="0"/>
              <w:right w:val="nil"/>
            </w:tcBorders>
            <w:vAlign w:val="center"/>
          </w:tcPr>
          <w:p>
            <w:pPr>
              <w:widowControl/>
              <w:spacing w:line="360" w:lineRule="exact"/>
              <w:jc w:val="left"/>
              <w:rPr>
                <w:rFonts w:ascii="宋体" w:hAnsi="宋体" w:cs="宋体"/>
                <w:b/>
                <w:bCs/>
                <w:color w:val="000000"/>
                <w:kern w:val="0"/>
                <w:sz w:val="28"/>
                <w:szCs w:val="28"/>
              </w:rPr>
            </w:pPr>
          </w:p>
        </w:tc>
        <w:tc>
          <w:tcPr>
            <w:tcW w:w="661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left"/>
              <w:rPr>
                <w:rFonts w:ascii="宋体" w:hAnsi="宋体" w:cs="宋体"/>
                <w:b/>
                <w:bCs/>
                <w:color w:val="000000"/>
                <w:kern w:val="0"/>
                <w:sz w:val="28"/>
                <w:szCs w:val="28"/>
              </w:rPr>
            </w:pP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一</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行政许可</w:t>
            </w:r>
          </w:p>
        </w:tc>
        <w:tc>
          <w:tcPr>
            <w:tcW w:w="661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共3项</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危险化学品经营许可</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烟花爆竹经营（零售）许可</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建设工程抗震设防要求审定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二</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行政处罚</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共94项</w:t>
            </w:r>
          </w:p>
        </w:tc>
      </w:tr>
      <w:tr>
        <w:tblPrEx>
          <w:tblCellMar>
            <w:top w:w="0" w:type="dxa"/>
            <w:left w:w="108" w:type="dxa"/>
            <w:bottom w:w="0" w:type="dxa"/>
            <w:right w:w="108" w:type="dxa"/>
          </w:tblCellMar>
        </w:tblPrEx>
        <w:trPr>
          <w:gridAfter w:val="1"/>
          <w:wAfter w:w="236" w:type="dxa"/>
          <w:trHeight w:val="433"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9"/>
                <w:kern w:val="0"/>
                <w:sz w:val="24"/>
              </w:rPr>
              <w:t>生产、经营、使用国家禁止生产、经营、使用的危险化学品及违反国家关于危险化学品使用的限制性规定使用危险化学品的处罚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未经安全条件审查，新建、改建、扩建生产、储存危险化学品建设项目的处罚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未取得危险化学品安全使用许可证、经营许可证从事危险化学品使用、经营的处罚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生产、储存危险化学品的单位未对其铺设的危险化学品管道设置明显的标志或者未对危险化学品管道定期检查、检测的等违法行为的处罚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生产、储存、使用危险化学品的单位对重复使用的危险化学品包装物、容器，在重复使用前不进行检查等违法行为的处罚</w:t>
            </w:r>
          </w:p>
        </w:tc>
      </w:tr>
      <w:tr>
        <w:tblPrEx>
          <w:tblCellMar>
            <w:top w:w="0" w:type="dxa"/>
            <w:left w:w="108" w:type="dxa"/>
            <w:bottom w:w="0" w:type="dxa"/>
            <w:right w:w="108" w:type="dxa"/>
          </w:tblCellMar>
        </w:tblPrEx>
        <w:trPr>
          <w:gridAfter w:val="1"/>
          <w:wAfter w:w="236" w:type="dxa"/>
          <w:trHeight w:val="1589"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储存危险化学品的企业或者使用危险化学品从事生产的企业未按照《危险化学品安全管理条例》规定将安全评价报告及其剧毒化学品以及储存数量构成重大危险源的其他危险化学品的储存数量、储存地点以及管理人员的情况报安全生产监督管理部门备案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生产、储存、使用危险化学品的单位转产、停产、停业或者解散丢弃危险化学品等违法行为的处罚</w:t>
            </w:r>
          </w:p>
        </w:tc>
      </w:tr>
      <w:tr>
        <w:tblPrEx>
          <w:tblCellMar>
            <w:top w:w="0" w:type="dxa"/>
            <w:left w:w="108" w:type="dxa"/>
            <w:bottom w:w="0" w:type="dxa"/>
            <w:right w:w="108" w:type="dxa"/>
          </w:tblCellMar>
        </w:tblPrEx>
        <w:trPr>
          <w:gridAfter w:val="1"/>
          <w:wAfter w:w="236" w:type="dxa"/>
          <w:trHeight w:val="913"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危险化学品生产企业、经营企业向不具有《危险化学品安全管理</w:t>
            </w:r>
            <w:r>
              <w:rPr>
                <w:rFonts w:hint="eastAsia" w:ascii="仿宋_GB2312" w:hAnsi="宋体" w:eastAsia="仿宋_GB2312" w:cs="宋体"/>
                <w:spacing w:val="-9"/>
                <w:kern w:val="0"/>
                <w:sz w:val="24"/>
              </w:rPr>
              <w:t>条例》第三十八条第一款、第二款规定的相关许可证件或者证明文件的单位销售剧毒化学品、易制爆危险化学品等违法行为的处罚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9</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6615"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易制毒化学品生产、经营、购买、运输或者进口、出口、单位未按规定建立安全管理制度等违法行为的处罚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10</w:t>
            </w:r>
          </w:p>
        </w:tc>
        <w:tc>
          <w:tcPr>
            <w:tcW w:w="1215" w:type="dxa"/>
            <w:tcBorders>
              <w:top w:val="single" w:color="000000"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生产、经营、购买、运输或者进口、出口易制毒化学品的单位或者个人拒不接受有关行政主管部门监督检查的处罚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11</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没有安全设施设计的;安全设施设计未组织审查，并形成书面审查报告的;施工单位未按照安全设施设计施工的;投入生产或者使用前，安全设施未经竣工验收合格，并形成书面报告的的处罚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12</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危险化学品单位未按照《危险化学品重大危险源监督管理暂行规定》要求对重大危险源进行安全评估等违法行为的处罚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13</w:t>
            </w:r>
          </w:p>
        </w:tc>
        <w:tc>
          <w:tcPr>
            <w:tcW w:w="1215" w:type="dxa"/>
            <w:tcBorders>
              <w:top w:val="single" w:color="auto"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危险化学品单位未在构成重大危险源的场所设置明显的安全警示标志等违法行为的处罚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14</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危险化学品单位未按照标准对重大危险源进行辨识等违法行为的处罚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登记企业不办理危险化学品登记等违法行为的处罚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16</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危险化学品登记企业未向用户提供应急咨询服务等违法行为的处罚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17</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伪造、变造或者出租、出借、转让经营许可证，或者使用伪造、变造的危险化学品经营许可证的处罚</w:t>
            </w:r>
          </w:p>
        </w:tc>
      </w:tr>
      <w:tr>
        <w:tblPrEx>
          <w:tblCellMar>
            <w:top w:w="0" w:type="dxa"/>
            <w:left w:w="108" w:type="dxa"/>
            <w:bottom w:w="0" w:type="dxa"/>
            <w:right w:w="108" w:type="dxa"/>
          </w:tblCellMar>
        </w:tblPrEx>
        <w:trPr>
          <w:gridAfter w:val="1"/>
          <w:wAfter w:w="236" w:type="dxa"/>
          <w:trHeight w:val="1273"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18</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已经取得经营许可证的企业变更企业名称、主要负责人、注册地址或者危险化学品储存设施及其监控措施；新建、改建、扩建危险化学品储存设施建设项目，未依照本办法的规定申请变更的处罚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19</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企业伪造、变造或者出租、出借、转让安全使用许可证，或者使用伪造、变造的安全使用许可证的处罚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企业在安全使用许可证有效期内主要负责人等发生变更，未按照规定的时限提出变更违法行为的处罚</w:t>
            </w:r>
          </w:p>
        </w:tc>
      </w:tr>
      <w:tr>
        <w:tblPrEx>
          <w:tblCellMar>
            <w:top w:w="0" w:type="dxa"/>
            <w:left w:w="108" w:type="dxa"/>
            <w:bottom w:w="0" w:type="dxa"/>
            <w:right w:w="108" w:type="dxa"/>
          </w:tblCellMar>
        </w:tblPrEx>
        <w:trPr>
          <w:gridAfter w:val="1"/>
          <w:wAfter w:w="236" w:type="dxa"/>
          <w:trHeight w:val="6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企业在安全使用许可证有效期内增加使用的危险化学品品种，且达到危险化学品使用量的数量标准规定等违法行为的处罚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化学品单位未按照规定对化学品进行物理危险性鉴定或者分类等违法行为的处罚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鉴定机构在物理危险性鉴定过程中伪造、篡改数据或者有其他弄虚作假等违法行为的处罚</w:t>
            </w:r>
          </w:p>
        </w:tc>
      </w:tr>
      <w:tr>
        <w:tblPrEx>
          <w:tblCellMar>
            <w:top w:w="0" w:type="dxa"/>
            <w:left w:w="108" w:type="dxa"/>
            <w:bottom w:w="0" w:type="dxa"/>
            <w:right w:w="108" w:type="dxa"/>
          </w:tblCellMar>
        </w:tblPrEx>
        <w:trPr>
          <w:gridAfter w:val="1"/>
          <w:wAfter w:w="236" w:type="dxa"/>
          <w:trHeight w:val="1589"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24</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未按照规定对矿山等建设项目进行安全评价的，矿山等建设项目没有安全设施设计或者安全设施设计未按照规定报经有关部门审查同意的，矿山等建设项目的施工单位未按照批准的安全设施设计施工的，矿山等建设项目竣工投入生产或者使用前安全设施未经验收合格的的处罚</w:t>
            </w:r>
          </w:p>
        </w:tc>
      </w:tr>
      <w:tr>
        <w:tblPrEx>
          <w:tblCellMar>
            <w:top w:w="0" w:type="dxa"/>
            <w:left w:w="108" w:type="dxa"/>
            <w:bottom w:w="0" w:type="dxa"/>
            <w:right w:w="108" w:type="dxa"/>
          </w:tblCellMar>
        </w:tblPrEx>
        <w:trPr>
          <w:gridAfter w:val="1"/>
          <w:wAfter w:w="236" w:type="dxa"/>
          <w:trHeight w:val="1375" w:hRule="atLeast"/>
        </w:trPr>
        <w:tc>
          <w:tcPr>
            <w:tcW w:w="73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25</w:t>
            </w:r>
          </w:p>
        </w:tc>
        <w:tc>
          <w:tcPr>
            <w:tcW w:w="1215" w:type="dxa"/>
            <w:tcBorders>
              <w:top w:val="single" w:color="000000"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生产、经营、储存、使用危险物品，未建立专门安全管理制度，对重大危险源未登记建档，或者未进行评估、监控，或者未制定应急预案的，进行爆破、吊装等危险作业未安排专门人员进行现场安全管理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26</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危险物品的生产、经营、储存单位未建立应急救援组织、签订救护协议和未配备必要的急救器材、设备并进行经常性维护、保养，保证正常运转的处罚</w:t>
            </w:r>
          </w:p>
        </w:tc>
      </w:tr>
      <w:tr>
        <w:tblPrEx>
          <w:tblCellMar>
            <w:top w:w="0" w:type="dxa"/>
            <w:left w:w="108" w:type="dxa"/>
            <w:bottom w:w="0" w:type="dxa"/>
            <w:right w:w="108" w:type="dxa"/>
          </w:tblCellMar>
        </w:tblPrEx>
        <w:trPr>
          <w:gridAfter w:val="1"/>
          <w:wAfter w:w="236" w:type="dxa"/>
          <w:trHeight w:val="358" w:hRule="atLeast"/>
        </w:trPr>
        <w:tc>
          <w:tcPr>
            <w:tcW w:w="73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27</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spacing w:val="-5"/>
                <w:kern w:val="0"/>
                <w:sz w:val="24"/>
              </w:rPr>
              <w:t>未经许可生产、经营烟花爆竹制品，或者向未取烟花爆竹安全生产许可的单位或个人销售黑火药、烟火药、引火线行为的处罚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28</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333333"/>
                <w:kern w:val="0"/>
                <w:sz w:val="24"/>
              </w:rPr>
            </w:pPr>
            <w:r>
              <w:rPr>
                <w:rFonts w:hint="eastAsia" w:ascii="仿宋_GB2312" w:hAnsi="宋体" w:eastAsia="仿宋_GB2312" w:cs="宋体"/>
                <w:color w:val="333333"/>
                <w:kern w:val="0"/>
                <w:sz w:val="24"/>
              </w:rPr>
              <w:t>从事烟花爆竹批发的企业向从事烟花爆竹零售的经营者供应非法生产、经营的烟花爆竹，或者供应按照国家标准规定应由专业燃放人员燃放的烟花爆竹行为的处罚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29</w:t>
            </w:r>
          </w:p>
        </w:tc>
        <w:tc>
          <w:tcPr>
            <w:tcW w:w="1215" w:type="dxa"/>
            <w:tcBorders>
              <w:top w:val="single" w:color="auto"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333333"/>
                <w:kern w:val="0"/>
                <w:sz w:val="24"/>
              </w:rPr>
            </w:pPr>
            <w:r>
              <w:rPr>
                <w:rFonts w:hint="eastAsia" w:ascii="仿宋_GB2312" w:hAnsi="宋体" w:eastAsia="仿宋_GB2312" w:cs="宋体"/>
                <w:color w:val="333333"/>
                <w:kern w:val="0"/>
                <w:sz w:val="24"/>
              </w:rPr>
              <w:t>从事烟花爆竹零售的经营者销售非法生产、经营的烟花爆竹，或者销售按照国家标准规定应由专业燃放人员燃放的烟花爆竹行为的处罚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30</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未经许可经营、超许可范围经营、许可证过期继续经营烟花爆竹行为的处罚</w:t>
            </w:r>
          </w:p>
        </w:tc>
      </w:tr>
      <w:tr>
        <w:tblPrEx>
          <w:tblCellMar>
            <w:top w:w="0" w:type="dxa"/>
            <w:left w:w="108" w:type="dxa"/>
            <w:bottom w:w="0" w:type="dxa"/>
            <w:right w:w="108" w:type="dxa"/>
          </w:tblCellMar>
        </w:tblPrEx>
        <w:trPr>
          <w:gridAfter w:val="1"/>
          <w:wAfter w:w="236" w:type="dxa"/>
          <w:trHeight w:val="411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4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烟花爆竹批发企业在城市建成区内设立烟花爆竹储存仓库，或者在批发（展示）场所摆放有药样品的；采购和销售质量不符合国家标准或者行业标准规定的烟花爆竹的；在仓库内违反国家标准或者行业标准规定储存烟花爆竹的；在烟花爆竹经营许可证载明的仓库以外储存烟花爆竹的；对假冒伪劣、过期、含有超量、违禁药物以及其他存在严重质量问题的烟花爆竹未及时销毁的；未执行合同管理、流向登记制度或者未按照规定应用烟花爆竹流向管理信息系统的；未将黑火药、引火线的采购、销售记录报所在地县级安全监管局备案的；仓储设施新建、改建、扩建后，未重新申请办理许可手续的；变更企业名称、主要负责人、注册地址，未申请办理许可证变更手续的；向未取得零售许可证的单位或者个人销售烟花爆竹的处罚。</w:t>
            </w:r>
          </w:p>
        </w:tc>
      </w:tr>
      <w:tr>
        <w:tblPrEx>
          <w:tblCellMar>
            <w:top w:w="0" w:type="dxa"/>
            <w:left w:w="108" w:type="dxa"/>
            <w:bottom w:w="0" w:type="dxa"/>
            <w:right w:w="108" w:type="dxa"/>
          </w:tblCellMar>
        </w:tblPrEx>
        <w:trPr>
          <w:gridAfter w:val="1"/>
          <w:wAfter w:w="236" w:type="dxa"/>
          <w:trHeight w:val="1589"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32</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烟花爆竹批发企业向未取得烟花爆竹安全生产许可证的单位或者个人销售烟火药、黑火药、引火线的；向零售经营者供应非法生产、经营的烟花爆竹的；向零售经营者供应礼花弹等按照国家标准规定应当由专业人员燃放的烟花爆竹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33</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对零售经营者变更零售点名称、主要负责人或者经营场所，未重新办理零售许可证的和存放的烟花爆竹数量超过零售许可证载明范围的处罚。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34</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烟花爆竹经营单位出租、出借、转让、买卖烟花爆竹经营许可证的处罚</w:t>
            </w:r>
          </w:p>
        </w:tc>
      </w:tr>
      <w:tr>
        <w:tblPrEx>
          <w:tblCellMar>
            <w:top w:w="0" w:type="dxa"/>
            <w:left w:w="108" w:type="dxa"/>
            <w:bottom w:w="0" w:type="dxa"/>
            <w:right w:w="108" w:type="dxa"/>
          </w:tblCellMar>
        </w:tblPrEx>
        <w:trPr>
          <w:gridAfter w:val="1"/>
          <w:wAfter w:w="236" w:type="dxa"/>
          <w:trHeight w:val="420"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冒用或者使用伪造的烟花爆竹经营许可证的处罚。</w:t>
            </w:r>
          </w:p>
        </w:tc>
      </w:tr>
      <w:tr>
        <w:tblPrEx>
          <w:tblCellMar>
            <w:top w:w="0" w:type="dxa"/>
            <w:left w:w="108" w:type="dxa"/>
            <w:bottom w:w="0" w:type="dxa"/>
            <w:right w:w="108" w:type="dxa"/>
          </w:tblCellMar>
        </w:tblPrEx>
        <w:trPr>
          <w:gridAfter w:val="1"/>
          <w:wAfter w:w="236" w:type="dxa"/>
          <w:trHeight w:val="702" w:hRule="atLeast"/>
        </w:trPr>
        <w:tc>
          <w:tcPr>
            <w:tcW w:w="735" w:type="dxa"/>
            <w:tcBorders>
              <w:top w:val="nil"/>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36</w:t>
            </w:r>
          </w:p>
        </w:tc>
        <w:tc>
          <w:tcPr>
            <w:tcW w:w="1215" w:type="dxa"/>
            <w:tcBorders>
              <w:top w:val="nil"/>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4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申请人隐瞒有关情况或者提供虚假材料申请烟花爆竹经营许可证的处罚</w:t>
            </w:r>
          </w:p>
        </w:tc>
      </w:tr>
      <w:tr>
        <w:tblPrEx>
          <w:tblCellMar>
            <w:top w:w="0" w:type="dxa"/>
            <w:left w:w="108" w:type="dxa"/>
            <w:bottom w:w="0" w:type="dxa"/>
            <w:right w:w="108" w:type="dxa"/>
          </w:tblCellMar>
        </w:tblPrEx>
        <w:trPr>
          <w:gridAfter w:val="1"/>
          <w:wAfter w:w="236" w:type="dxa"/>
          <w:trHeight w:val="517"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37</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以欺骗、贿赂等不正当手段取得烟花爆竹经营许可证的处罚。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38</w:t>
            </w:r>
          </w:p>
        </w:tc>
        <w:tc>
          <w:tcPr>
            <w:tcW w:w="1215" w:type="dxa"/>
            <w:tcBorders>
              <w:top w:val="single" w:color="auto"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333333"/>
                <w:kern w:val="0"/>
                <w:sz w:val="24"/>
              </w:rPr>
            </w:pPr>
            <w:r>
              <w:rPr>
                <w:rFonts w:hint="eastAsia" w:ascii="仿宋_GB2312" w:hAnsi="宋体" w:eastAsia="仿宋_GB2312" w:cs="宋体"/>
                <w:color w:val="333333"/>
                <w:kern w:val="0"/>
                <w:sz w:val="24"/>
              </w:rPr>
              <w:t>冶金企业的会议室、活动室、休息室、更衣室等人员密集场所应当设置在安全地点，不得设置在高温液态金属的吊运影响范围内</w:t>
            </w:r>
            <w:r>
              <w:rPr>
                <w:rFonts w:hint="eastAsia" w:ascii="仿宋_GB2312" w:hAnsi="宋体" w:eastAsia="仿宋_GB2312" w:cs="宋体"/>
                <w:color w:val="000000"/>
                <w:kern w:val="0"/>
                <w:sz w:val="24"/>
              </w:rPr>
              <w:t>的处罚</w:t>
            </w:r>
          </w:p>
        </w:tc>
      </w:tr>
      <w:tr>
        <w:tblPrEx>
          <w:tblCellMar>
            <w:top w:w="0" w:type="dxa"/>
            <w:left w:w="108" w:type="dxa"/>
            <w:bottom w:w="0" w:type="dxa"/>
            <w:right w:w="108" w:type="dxa"/>
          </w:tblCellMar>
        </w:tblPrEx>
        <w:trPr>
          <w:gridAfter w:val="1"/>
          <w:wAfter w:w="236" w:type="dxa"/>
          <w:trHeight w:val="2220"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39</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冶金企业未在煤气储罐区等可能发生煤气泄漏、聚集的场所，设置固定式煤气检测报警仪，建立预警系统，悬挂醒目的安全警示牌，并加强通风换气。进入煤气区域作业的人员，应当携带煤气检测报警仪器；在作业前，未检查作业场所的煤气含量，并采取可靠的安全防护措施，经检查确认煤气含量符合规定后，方可进入作业的处罚</w:t>
            </w:r>
          </w:p>
        </w:tc>
      </w:tr>
      <w:tr>
        <w:tblPrEx>
          <w:tblCellMar>
            <w:top w:w="0" w:type="dxa"/>
            <w:left w:w="108" w:type="dxa"/>
            <w:bottom w:w="0" w:type="dxa"/>
            <w:right w:w="108" w:type="dxa"/>
          </w:tblCellMar>
        </w:tblPrEx>
        <w:trPr>
          <w:gridAfter w:val="1"/>
          <w:wAfter w:w="236" w:type="dxa"/>
          <w:trHeight w:val="79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40</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氧气系统未采取可靠的安全措施，防止氧气燃爆事故以及氮气、氩气、珠光砂窒息事故的处罚</w:t>
            </w:r>
          </w:p>
        </w:tc>
      </w:tr>
      <w:tr>
        <w:tblPrEx>
          <w:tblCellMar>
            <w:top w:w="0" w:type="dxa"/>
            <w:left w:w="108" w:type="dxa"/>
            <w:bottom w:w="0" w:type="dxa"/>
            <w:right w:w="108" w:type="dxa"/>
          </w:tblCellMar>
        </w:tblPrEx>
        <w:trPr>
          <w:gridAfter w:val="1"/>
          <w:wAfter w:w="236" w:type="dxa"/>
          <w:trHeight w:val="1273"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冶金企业未根据本单位的安全生产实际状况，科学、合理确定煤气柜容积，按照《工业企业煤气安全规程》(GB6222)的规定，合理选择柜址位置，设置安全保护装置，制定煤气柜事故应急预案的处罚</w:t>
            </w:r>
          </w:p>
        </w:tc>
      </w:tr>
      <w:tr>
        <w:tblPrEx>
          <w:tblCellMar>
            <w:top w:w="0" w:type="dxa"/>
            <w:left w:w="108" w:type="dxa"/>
            <w:bottom w:w="0" w:type="dxa"/>
            <w:right w:w="108" w:type="dxa"/>
          </w:tblCellMar>
        </w:tblPrEx>
        <w:trPr>
          <w:gridAfter w:val="1"/>
          <w:wAfter w:w="236" w:type="dxa"/>
          <w:trHeight w:val="1920"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冶金企业安全预评价报告、安全专篇、安全验收评价报告未按照规定备案的；煤气生产、输送、使用、维护检修人员未经培训合格上岗作业的；未从合法的劳务公司录用劳务人员，或者未与劳务公司签订合同，或者未对劳务人员进行统一安全生产教育和培训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工贸企业未在有限空间作业场所设置明显的安全警示标志的；未按照本规定为作业人员提供符合国家标准或者行业标准的劳动防护用品的处罚</w:t>
            </w:r>
          </w:p>
        </w:tc>
      </w:tr>
      <w:tr>
        <w:tblPrEx>
          <w:tblCellMar>
            <w:top w:w="0" w:type="dxa"/>
            <w:left w:w="108" w:type="dxa"/>
            <w:bottom w:w="0" w:type="dxa"/>
            <w:right w:w="108" w:type="dxa"/>
          </w:tblCellMar>
        </w:tblPrEx>
        <w:trPr>
          <w:gridAfter w:val="1"/>
          <w:wAfter w:w="236" w:type="dxa"/>
          <w:trHeight w:val="149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44</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对未按照《工贸企业有限空间作业安全管理与监督暂行规定》对有限空间的现场负责人、监护人员、作业人员和应急救援人员进行专项安全培训，和对有限空间作业制定应急预案，配备必要的应急装备和器材，并定期进行演练的处罚</w:t>
            </w:r>
          </w:p>
        </w:tc>
      </w:tr>
      <w:tr>
        <w:tblPrEx>
          <w:tblCellMar>
            <w:top w:w="0" w:type="dxa"/>
            <w:left w:w="108" w:type="dxa"/>
            <w:bottom w:w="0" w:type="dxa"/>
            <w:right w:w="108" w:type="dxa"/>
          </w:tblCellMar>
        </w:tblPrEx>
        <w:trPr>
          <w:gridAfter w:val="1"/>
          <w:wAfter w:w="236" w:type="dxa"/>
          <w:trHeight w:val="1915"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45</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对未按照《工贸企业有限空间作业安全管理与监督暂行规定》对有限空间作业进行辨识、提出防范措施、建立有限空间管理台账、未按照本规定对有限空间作业制定作业方案或者方案未经审批擅自作业和有限空间作业未按照本规定进行危险有害因素检测或者监测，并实行专人监护作业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46</w:t>
            </w:r>
          </w:p>
        </w:tc>
        <w:tc>
          <w:tcPr>
            <w:tcW w:w="1215" w:type="dxa"/>
            <w:tcBorders>
              <w:top w:val="nil"/>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承担安全评价、认证、检测、检验工作的机构，出具虚假证明的处罚</w:t>
            </w:r>
          </w:p>
        </w:tc>
      </w:tr>
      <w:tr>
        <w:tblPrEx>
          <w:tblCellMar>
            <w:top w:w="0" w:type="dxa"/>
            <w:left w:w="108" w:type="dxa"/>
            <w:bottom w:w="0" w:type="dxa"/>
            <w:right w:w="108" w:type="dxa"/>
          </w:tblCellMar>
        </w:tblPrEx>
        <w:trPr>
          <w:gridAfter w:val="1"/>
          <w:wAfter w:w="236" w:type="dxa"/>
          <w:trHeight w:val="1273"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47</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生产经营单位的决策机构、主要负责人、个人经营的投资人不依照《中华人民共和国安全生产法》规定保证安全生产所必需的资金投入，致使生产经营单位不具备安全生产条件的处罚</w:t>
            </w:r>
          </w:p>
        </w:tc>
      </w:tr>
      <w:tr>
        <w:tblPrEx>
          <w:tblCellMar>
            <w:top w:w="0" w:type="dxa"/>
            <w:left w:w="108" w:type="dxa"/>
            <w:bottom w:w="0" w:type="dxa"/>
            <w:right w:w="108" w:type="dxa"/>
          </w:tblCellMar>
        </w:tblPrEx>
        <w:trPr>
          <w:gridAfter w:val="1"/>
          <w:wAfter w:w="236" w:type="dxa"/>
          <w:trHeight w:val="785" w:hRule="atLeast"/>
        </w:trPr>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48</w:t>
            </w:r>
          </w:p>
        </w:tc>
        <w:tc>
          <w:tcPr>
            <w:tcW w:w="1215" w:type="dxa"/>
            <w:tcBorders>
              <w:top w:val="single" w:color="auto"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生产经营单位的主要负责人未履行《中华人民共和国安全生产法》规定的安全生产管理职责的处罚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49</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生产经营单位的主要负责人未履行规定的安全生产管理职责，导致发生生产安全事故的</w:t>
            </w:r>
          </w:p>
        </w:tc>
      </w:tr>
      <w:tr>
        <w:tblPrEx>
          <w:tblCellMar>
            <w:top w:w="0" w:type="dxa"/>
            <w:left w:w="108" w:type="dxa"/>
            <w:bottom w:w="0" w:type="dxa"/>
            <w:right w:w="108" w:type="dxa"/>
          </w:tblCellMar>
        </w:tblPrEx>
        <w:trPr>
          <w:gridAfter w:val="1"/>
          <w:wAfter w:w="236" w:type="dxa"/>
          <w:trHeight w:val="76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50</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生产经营单位未按照规定设立安全生产管理机构或者配备安全生产管理人员，未按规定进行教育培训等违法行为的处罚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矿山建设项目或者用于生产、储存、装卸危险物品的建设项目没有按照规定进行安全设施“三同时”，生产经营单位未按规定设置警示标志等违法行为的处罚</w:t>
            </w:r>
          </w:p>
        </w:tc>
      </w:tr>
      <w:tr>
        <w:tblPrEx>
          <w:tblCellMar>
            <w:top w:w="0" w:type="dxa"/>
            <w:left w:w="108" w:type="dxa"/>
            <w:bottom w:w="0" w:type="dxa"/>
            <w:right w:w="108" w:type="dxa"/>
          </w:tblCellMar>
        </w:tblPrEx>
        <w:trPr>
          <w:gridAfter w:val="1"/>
          <w:wAfter w:w="236" w:type="dxa"/>
          <w:trHeight w:val="328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未在有较大危险因素的生产经营场所和有关设施、设备上设置明显的安全警示标志的；安全设备的安装、使用、检测、改造和报废不符合国家标准或者行业标准的；未对安全设备进行经常性维护、保养和定期检测的；未为从业人员提供符合国家标准或者行业标准的劳动防护用品的；危险物品的容器、运输工具，以及涉及人身安全、危险性较大的海洋石油开采特种设备和矿山井下特种设备未经具有专业资质的机构检测、检验合格，取得安全使用证或者安全标，投入使用的；使用应当淘汰的危及生产安全的工艺、设备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生产经营单位生产、经营、运输、储存、使用危险物品，未建立专门安全管理制度等违法行为的处罚</w:t>
            </w:r>
          </w:p>
        </w:tc>
      </w:tr>
      <w:tr>
        <w:tblPrEx>
          <w:tblCellMar>
            <w:top w:w="0" w:type="dxa"/>
            <w:left w:w="108" w:type="dxa"/>
            <w:bottom w:w="0" w:type="dxa"/>
            <w:right w:w="108" w:type="dxa"/>
          </w:tblCellMar>
        </w:tblPrEx>
        <w:trPr>
          <w:gridAfter w:val="1"/>
          <w:wAfter w:w="236" w:type="dxa"/>
          <w:trHeight w:val="480"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54</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对生产经营单位未采取措施消除事故隐患的处罚</w:t>
            </w:r>
          </w:p>
        </w:tc>
      </w:tr>
      <w:tr>
        <w:tblPrEx>
          <w:tblCellMar>
            <w:top w:w="0" w:type="dxa"/>
            <w:left w:w="108" w:type="dxa"/>
            <w:bottom w:w="0" w:type="dxa"/>
            <w:right w:w="108" w:type="dxa"/>
          </w:tblCellMar>
        </w:tblPrEx>
        <w:trPr>
          <w:gridAfter w:val="1"/>
          <w:wAfter w:w="236" w:type="dxa"/>
          <w:trHeight w:val="480"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对生产经营单位违法发包或者出租的处罚</w:t>
            </w:r>
          </w:p>
        </w:tc>
      </w:tr>
      <w:tr>
        <w:tblPrEx>
          <w:tblCellMar>
            <w:top w:w="0" w:type="dxa"/>
            <w:left w:w="108" w:type="dxa"/>
            <w:bottom w:w="0" w:type="dxa"/>
            <w:right w:w="108" w:type="dxa"/>
          </w:tblCellMar>
        </w:tblPrEx>
        <w:trPr>
          <w:gridAfter w:val="1"/>
          <w:wAfter w:w="236" w:type="dxa"/>
          <w:trHeight w:val="1273"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56</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生产经营单位未与承包单位、承租单位签订专门的安全生产管理协议或者未在承包合同、租赁合同中明确各自的安全生产管理职责，或者未对承包单位、承租单位的安全生产统一协调、管理的处罚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57</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两个以上生产经营单位在同一作业区域内进行可能危及对方安全生产的生产经营活动，未签订安全生产管理协议等违法行为的处罚</w:t>
            </w:r>
          </w:p>
        </w:tc>
      </w:tr>
      <w:tr>
        <w:tblPrEx>
          <w:tblCellMar>
            <w:top w:w="0" w:type="dxa"/>
            <w:left w:w="108" w:type="dxa"/>
            <w:bottom w:w="0" w:type="dxa"/>
            <w:right w:w="108" w:type="dxa"/>
          </w:tblCellMar>
        </w:tblPrEx>
        <w:trPr>
          <w:gridAfter w:val="1"/>
          <w:wAfter w:w="236" w:type="dxa"/>
          <w:trHeight w:val="1155" w:hRule="atLeast"/>
        </w:trPr>
        <w:tc>
          <w:tcPr>
            <w:tcW w:w="735" w:type="dxa"/>
            <w:tcBorders>
              <w:top w:val="nil"/>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58</w:t>
            </w:r>
          </w:p>
        </w:tc>
        <w:tc>
          <w:tcPr>
            <w:tcW w:w="1215" w:type="dxa"/>
            <w:tcBorders>
              <w:top w:val="nil"/>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生产经营单位生产、经营、储存、使用危险物品的车间、商店、仓库与员工宿舍在同一座建筑内，或者距离不符合安全要求，未设出口，或者封闭、堵塞出口的处罚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59</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生产经营单位与从业人员订立协议，免除或者减轻其对从业人员因生产安全事故伤亡依法应承担的责任的处罚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60</w:t>
            </w:r>
          </w:p>
        </w:tc>
        <w:tc>
          <w:tcPr>
            <w:tcW w:w="1215" w:type="dxa"/>
            <w:tcBorders>
              <w:top w:val="single" w:color="auto"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生产经营单位拒绝、阻碍负有安全生产监督管理职责的部门依法实施监督检查的处罚</w:t>
            </w:r>
          </w:p>
        </w:tc>
      </w:tr>
      <w:tr>
        <w:tblPrEx>
          <w:tblCellMar>
            <w:top w:w="0" w:type="dxa"/>
            <w:left w:w="108" w:type="dxa"/>
            <w:bottom w:w="0" w:type="dxa"/>
            <w:right w:w="108" w:type="dxa"/>
          </w:tblCellMar>
        </w:tblPrEx>
        <w:trPr>
          <w:gridAfter w:val="1"/>
          <w:wAfter w:w="236" w:type="dxa"/>
          <w:trHeight w:val="1273"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生产经营单位的主要负责人在本单位发生生产安全事故时，不立即组织抢救或者在事故调查处理期间擅离职守或者逃匿的处罚；生产经营单位的主要负责人对生产安全事故隐瞒不报、谎报或者迟报的处罚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生产经营单位不具备法律、行政法规和国家标准、行业标准规定的安全生产条件，经责令停产停业整顿仍不具备安全生产条件的处罚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对发生生产安全事故的处罚</w:t>
            </w:r>
          </w:p>
        </w:tc>
      </w:tr>
      <w:tr>
        <w:tblPrEx>
          <w:tblCellMar>
            <w:top w:w="0" w:type="dxa"/>
            <w:left w:w="108" w:type="dxa"/>
            <w:bottom w:w="0" w:type="dxa"/>
            <w:right w:w="108" w:type="dxa"/>
          </w:tblCellMar>
        </w:tblPrEx>
        <w:trPr>
          <w:gridAfter w:val="1"/>
          <w:wAfter w:w="236" w:type="dxa"/>
          <w:trHeight w:val="1589"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64</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未按照本办法规定对建设项目进行安全评价的;</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没有安全设施设计或者安全设施设计未按照规定报经安全生产监督管理部门审查同意，擅自开工的;</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施工单位未按照批准的安全设施设计施工的;投入生产或者使用前，安全设施未经验收合格的处罚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已经批准的建设项目安全设施设计发生重大变更，生产经营单位未报原批准部门审查同意擅自开工建设的处罚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66</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承担建设项目安全评价的机构弄虚作假、出具虚假报告的处罚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67</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生产经营单位及其主要负责人或者其他主管人员违反操作规程或者安全管理规定作业等违法行为的处罚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68</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知道或者应当知道生产经营单位未取得安全生产许可证或者其他批准文件擅自从事生产经营活动，仍为其提供生产经营场所、运输、保管、仓储等条件的处罚</w:t>
            </w:r>
          </w:p>
        </w:tc>
      </w:tr>
      <w:tr>
        <w:tblPrEx>
          <w:tblCellMar>
            <w:top w:w="0" w:type="dxa"/>
            <w:left w:w="108" w:type="dxa"/>
            <w:bottom w:w="0" w:type="dxa"/>
            <w:right w:w="108" w:type="dxa"/>
          </w:tblCellMar>
        </w:tblPrEx>
        <w:trPr>
          <w:gridAfter w:val="1"/>
          <w:wAfter w:w="236" w:type="dxa"/>
          <w:trHeight w:val="90"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69</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生产经营单位及其有关人员弄虚作假，骗取或者勾结、串通行</w:t>
            </w:r>
            <w:r>
              <w:rPr>
                <w:rFonts w:hint="eastAsia" w:ascii="仿宋_GB2312" w:hAnsi="宋体" w:eastAsia="仿宋_GB2312" w:cs="宋体"/>
                <w:spacing w:val="-3"/>
                <w:kern w:val="0"/>
                <w:sz w:val="24"/>
              </w:rPr>
              <w:t>政审批工作人员取得安全生产许可证书及其他批准文件的处罚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70</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未取得相应资格、资质证书的机构及其有关人员从事安全评价、认证、检测、检验工作的处罚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事故发生单位主要负责人在事故发生前后未履行安全生产职责的处罚</w:t>
            </w:r>
          </w:p>
        </w:tc>
      </w:tr>
      <w:tr>
        <w:tblPrEx>
          <w:tblCellMar>
            <w:top w:w="0" w:type="dxa"/>
            <w:left w:w="108" w:type="dxa"/>
            <w:bottom w:w="0" w:type="dxa"/>
            <w:right w:w="108" w:type="dxa"/>
          </w:tblCellMar>
        </w:tblPrEx>
        <w:trPr>
          <w:gridAfter w:val="1"/>
          <w:wAfter w:w="236" w:type="dxa"/>
          <w:trHeight w:val="1589" w:hRule="atLeast"/>
        </w:trPr>
        <w:tc>
          <w:tcPr>
            <w:tcW w:w="73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72</w:t>
            </w:r>
          </w:p>
        </w:tc>
        <w:tc>
          <w:tcPr>
            <w:tcW w:w="1215" w:type="dxa"/>
            <w:tcBorders>
              <w:top w:val="single" w:color="000000"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事故发生单位及其有关人员发生事故后谎报或者瞒报事故；伪造或者故意破坏事故现场的；转移、隐匿资金、财产，或者销毁有关证据、资料的；拒绝接受调查或者拒绝提供有关情况和资料的；在事故调查中作伪证或者指使他人作伪证的；事故发生后逃匿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73</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对安全生产事故发生负有责任的单位和有关人员的处罚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74</w:t>
            </w:r>
          </w:p>
        </w:tc>
        <w:tc>
          <w:tcPr>
            <w:tcW w:w="1215" w:type="dxa"/>
            <w:tcBorders>
              <w:top w:val="single" w:color="auto"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生产经营单位应急预案未按规定备案的处罚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未经注册擅自以注册安全工程师名义执业的处罚</w:t>
            </w:r>
          </w:p>
        </w:tc>
      </w:tr>
      <w:tr>
        <w:tblPrEx>
          <w:tblCellMar>
            <w:top w:w="0" w:type="dxa"/>
            <w:left w:w="108" w:type="dxa"/>
            <w:bottom w:w="0" w:type="dxa"/>
            <w:right w:w="108" w:type="dxa"/>
          </w:tblCellMar>
        </w:tblPrEx>
        <w:trPr>
          <w:gridAfter w:val="1"/>
          <w:wAfter w:w="236" w:type="dxa"/>
          <w:trHeight w:val="49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76</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3"/>
                <w:kern w:val="0"/>
                <w:sz w:val="24"/>
              </w:rPr>
              <w:t>注册安全工程师以欺骗、贿赂等不正当手段取得执业证的处罚。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77</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注册安全工程师执业相关违法行为的处罚。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78</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未按照规定制定事故隐患治理方案等违法行为的处罚。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79</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安全评价机构未取得相应资质证书，或者冒用资质证书、使用伪造的资质证书从事安全评价活动的处罚</w:t>
            </w:r>
          </w:p>
        </w:tc>
      </w:tr>
      <w:tr>
        <w:tblPrEx>
          <w:tblCellMar>
            <w:top w:w="0" w:type="dxa"/>
            <w:left w:w="108" w:type="dxa"/>
            <w:bottom w:w="0" w:type="dxa"/>
            <w:right w:w="108" w:type="dxa"/>
          </w:tblCellMar>
        </w:tblPrEx>
        <w:trPr>
          <w:gridAfter w:val="1"/>
          <w:wAfter w:w="236" w:type="dxa"/>
          <w:trHeight w:val="190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80</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从业人员不到现场开展评价活动的；安全评价报告与实际情况不符，或者评价报告存在重大疏漏，但尚未造成重大损失的；未按照有关法律、法规、规章和国家标准、行业标准的规定从事安全评价活动的；泄露被评价对象的技术秘密和商业秘密的；采取不正当竞争手段，故意贬低、诋毁其他评价机构，并造成严重影响的；未按规定办理资质证书变更手续的；定期考核不合格，经整改后仍达不到规定要求的；内部管理混乱，安全评价过程控制未有效实施的；未依法与委托方签订安全评价技术服务合同的；拒绝、阻碍安全生产监督管理部门、煤矿安全监察机构依法监督检查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不符合资质条件的；弄虚作假骗取资质证书的；有其他依法应当撤销资质的情形的处罚。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未取得安全生产许可证擅自进行生产的处罚。</w:t>
            </w:r>
          </w:p>
        </w:tc>
      </w:tr>
      <w:tr>
        <w:tblPrEx>
          <w:tblCellMar>
            <w:top w:w="0" w:type="dxa"/>
            <w:left w:w="108" w:type="dxa"/>
            <w:bottom w:w="0" w:type="dxa"/>
            <w:right w:w="108" w:type="dxa"/>
          </w:tblCellMar>
        </w:tblPrEx>
        <w:trPr>
          <w:gridAfter w:val="1"/>
          <w:wAfter w:w="236" w:type="dxa"/>
          <w:trHeight w:val="40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安全生产许可证有效期满未办理延期手续，继续进行生产的处罚。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84</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转让安全生产许可证的处罚。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未按照规定设置安全生产管理机构或者配备安全生产管理人员的；未如实记录安全生产教育和培训情况的；未将事故隐患排查治理情况如实记录或者未向从业人员通报的处罚</w:t>
            </w:r>
          </w:p>
        </w:tc>
      </w:tr>
      <w:tr>
        <w:tblPrEx>
          <w:tblCellMar>
            <w:top w:w="0" w:type="dxa"/>
            <w:left w:w="108" w:type="dxa"/>
            <w:bottom w:w="0" w:type="dxa"/>
            <w:right w:w="108" w:type="dxa"/>
          </w:tblCellMar>
        </w:tblPrEx>
        <w:trPr>
          <w:gridAfter w:val="1"/>
          <w:wAfter w:w="236" w:type="dxa"/>
          <w:trHeight w:val="728"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86</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食品生产企业不具备法律、行政法规和国家标准或者行业标准规定的安全生产条件，经停产整顿后仍不具备安全生产条件的处罚。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87</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作业场所不符合国家标准、行业标准规定的工作环境和条件的处罚。</w:t>
            </w:r>
          </w:p>
        </w:tc>
      </w:tr>
      <w:tr>
        <w:tblPrEx>
          <w:tblCellMar>
            <w:top w:w="0" w:type="dxa"/>
            <w:left w:w="108" w:type="dxa"/>
            <w:bottom w:w="0" w:type="dxa"/>
            <w:right w:w="108" w:type="dxa"/>
          </w:tblCellMar>
        </w:tblPrEx>
        <w:trPr>
          <w:gridAfter w:val="1"/>
          <w:wAfter w:w="236" w:type="dxa"/>
          <w:trHeight w:val="958"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88</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生产经营易燃易爆物品、危险化学品等危险物品的单位，未按规定对危险物品登记注册或者提供规范的中文安全标签和安全技术说明书的处罚。</w:t>
            </w:r>
          </w:p>
        </w:tc>
      </w:tr>
      <w:tr>
        <w:tblPrEx>
          <w:tblCellMar>
            <w:top w:w="0" w:type="dxa"/>
            <w:left w:w="108" w:type="dxa"/>
            <w:bottom w:w="0" w:type="dxa"/>
            <w:right w:w="108" w:type="dxa"/>
          </w:tblCellMar>
        </w:tblPrEx>
        <w:trPr>
          <w:gridAfter w:val="1"/>
          <w:wAfter w:w="236" w:type="dxa"/>
          <w:trHeight w:val="1140" w:hRule="atLeast"/>
        </w:trPr>
        <w:tc>
          <w:tcPr>
            <w:tcW w:w="735" w:type="dxa"/>
            <w:tcBorders>
              <w:top w:val="nil"/>
              <w:left w:val="single" w:color="000000"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89</w:t>
            </w:r>
          </w:p>
        </w:tc>
        <w:tc>
          <w:tcPr>
            <w:tcW w:w="1215" w:type="dxa"/>
            <w:tcBorders>
              <w:top w:val="nil"/>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生产经营单位的生产区域、生活区域、储存区域未按照规定保持安全距离，生产、经营、储存、使用危险物品的车间、商店、仓库的周边安全防护不符合国家标准或者国家有关规定的处罚。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90</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建设项目未按规定进行安全评价、安全设施未经审查同意进行施工或者未经竣工验收擅自投产和使用的处罚。</w:t>
            </w:r>
          </w:p>
        </w:tc>
      </w:tr>
      <w:tr>
        <w:tblPrEx>
          <w:tblCellMar>
            <w:top w:w="0" w:type="dxa"/>
            <w:left w:w="108" w:type="dxa"/>
            <w:bottom w:w="0" w:type="dxa"/>
            <w:right w:w="108" w:type="dxa"/>
          </w:tblCellMar>
        </w:tblPrEx>
        <w:trPr>
          <w:gridAfter w:val="1"/>
          <w:wAfter w:w="236" w:type="dxa"/>
          <w:trHeight w:val="1589" w:hRule="atLeast"/>
        </w:trPr>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91</w:t>
            </w:r>
          </w:p>
        </w:tc>
        <w:tc>
          <w:tcPr>
            <w:tcW w:w="1215" w:type="dxa"/>
            <w:tcBorders>
              <w:top w:val="single" w:color="auto"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 xml:space="preserve">特种劳动防护用品、矿山使用的特种设备等直接关系生命财产安全的产品、物品和设备、设施的生产经营单位，未依照国家有关规定取得安全生产许可证，其设计未经安全论证，未进行安全性能鉴定并取得安全性能鉴定证书或者安全标志的处罚。 </w:t>
            </w:r>
          </w:p>
        </w:tc>
      </w:tr>
      <w:tr>
        <w:tblPrEx>
          <w:tblCellMar>
            <w:top w:w="0" w:type="dxa"/>
            <w:left w:w="108" w:type="dxa"/>
            <w:bottom w:w="0" w:type="dxa"/>
            <w:right w:w="108" w:type="dxa"/>
          </w:tblCellMar>
        </w:tblPrEx>
        <w:trPr>
          <w:gridAfter w:val="1"/>
          <w:wAfter w:w="236" w:type="dxa"/>
          <w:trHeight w:val="537"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92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未取得安全生产许可证，擅自进行生产、经营、储存活动的处罚。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93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生产经营单位被责令停产停业整顿期间擅自从事生产经营的处罚。</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94</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安全生产中介机构未取得资质认证或者超越资质许可范围从事安全生产中介服务的处罚。</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三</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行政强制</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共5项</w:t>
            </w:r>
          </w:p>
        </w:tc>
      </w:tr>
      <w:tr>
        <w:tblPrEx>
          <w:tblCellMar>
            <w:top w:w="0" w:type="dxa"/>
            <w:left w:w="108" w:type="dxa"/>
            <w:bottom w:w="0" w:type="dxa"/>
            <w:right w:w="108" w:type="dxa"/>
          </w:tblCellMar>
        </w:tblPrEx>
        <w:trPr>
          <w:gridAfter w:val="1"/>
          <w:wAfter w:w="236" w:type="dxa"/>
          <w:trHeight w:val="477"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spacing w:val="-6"/>
                <w:kern w:val="0"/>
                <w:sz w:val="24"/>
              </w:rPr>
              <w:t>重大事故隐患排除前或者排除过程中无法保证安全的强制处理。</w:t>
            </w:r>
          </w:p>
        </w:tc>
      </w:tr>
      <w:tr>
        <w:tblPrEx>
          <w:tblCellMar>
            <w:top w:w="0" w:type="dxa"/>
            <w:left w:w="108" w:type="dxa"/>
            <w:bottom w:w="0" w:type="dxa"/>
            <w:right w:w="108" w:type="dxa"/>
          </w:tblCellMar>
        </w:tblPrEx>
        <w:trPr>
          <w:gridAfter w:val="1"/>
          <w:wAfter w:w="236" w:type="dxa"/>
          <w:trHeight w:val="67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查封、扣押不符合保障安全生产的国家标准或者行业标准的设施、设备、器材。</w:t>
            </w:r>
          </w:p>
        </w:tc>
      </w:tr>
      <w:tr>
        <w:tblPrEx>
          <w:tblCellMar>
            <w:top w:w="0" w:type="dxa"/>
            <w:left w:w="108" w:type="dxa"/>
            <w:bottom w:w="0" w:type="dxa"/>
            <w:right w:w="108" w:type="dxa"/>
          </w:tblCellMar>
        </w:tblPrEx>
        <w:trPr>
          <w:gridAfter w:val="1"/>
          <w:wAfter w:w="236" w:type="dxa"/>
          <w:trHeight w:val="642"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依法对存在重大事故隐患的生产经营单位作出停止供电、停止供应民用爆炸物品等措施。</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扣押相关的证据材料和违法物品；临时查封有关场所。</w:t>
            </w:r>
          </w:p>
        </w:tc>
      </w:tr>
      <w:tr>
        <w:tblPrEx>
          <w:tblCellMar>
            <w:top w:w="0" w:type="dxa"/>
            <w:left w:w="108" w:type="dxa"/>
            <w:bottom w:w="0" w:type="dxa"/>
            <w:right w:w="108" w:type="dxa"/>
          </w:tblCellMar>
        </w:tblPrEx>
        <w:trPr>
          <w:gridAfter w:val="1"/>
          <w:wAfter w:w="236" w:type="dxa"/>
          <w:trHeight w:val="1033"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000000" w:sz="4" w:space="0"/>
              <w:right w:val="single" w:color="auto" w:sz="4" w:space="0"/>
            </w:tcBorders>
            <w:shd w:val="clear" w:color="auto" w:fill="auto"/>
            <w:vAlign w:val="center"/>
          </w:tcPr>
          <w:p>
            <w:pPr>
              <w:widowControl/>
              <w:spacing w:line="340" w:lineRule="exact"/>
              <w:jc w:val="left"/>
              <w:rPr>
                <w:rFonts w:ascii="仿宋_GB2312" w:hAnsi="宋体" w:eastAsia="仿宋_GB2312" w:cs="宋体"/>
                <w:kern w:val="0"/>
                <w:sz w:val="24"/>
              </w:rPr>
            </w:pPr>
            <w:r>
              <w:rPr>
                <w:rFonts w:hint="eastAsia" w:ascii="仿宋_GB2312" w:hAnsi="宋体" w:eastAsia="仿宋_GB2312" w:cs="宋体"/>
                <w:kern w:val="0"/>
                <w:sz w:val="24"/>
              </w:rPr>
              <w:t>查封违法生产、储存、使用、经营危险化学品的场所，扣押违法生产、储存、使用、经营、运输的危险化学品以及用于违法生产、使用、运输危险化学品的原材料、设备、运输工具。</w:t>
            </w:r>
          </w:p>
        </w:tc>
      </w:tr>
      <w:tr>
        <w:tblPrEx>
          <w:tblCellMar>
            <w:top w:w="0" w:type="dxa"/>
            <w:left w:w="108" w:type="dxa"/>
            <w:bottom w:w="0" w:type="dxa"/>
            <w:right w:w="108" w:type="dxa"/>
          </w:tblCellMar>
        </w:tblPrEx>
        <w:trPr>
          <w:gridAfter w:val="1"/>
          <w:wAfter w:w="236" w:type="dxa"/>
          <w:trHeight w:val="326"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四</w:t>
            </w:r>
          </w:p>
        </w:tc>
        <w:tc>
          <w:tcPr>
            <w:tcW w:w="1215" w:type="dxa"/>
            <w:tcBorders>
              <w:top w:val="single" w:color="000000" w:sz="4" w:space="0"/>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行政检查</w:t>
            </w:r>
          </w:p>
        </w:tc>
        <w:tc>
          <w:tcPr>
            <w:tcW w:w="6615" w:type="dxa"/>
            <w:tcBorders>
              <w:top w:val="single" w:color="000000" w:sz="4" w:space="0"/>
              <w:left w:val="single" w:color="auto" w:sz="4" w:space="0"/>
              <w:bottom w:val="single" w:color="auto" w:sz="4" w:space="0"/>
              <w:right w:val="single" w:color="000000" w:sz="4" w:space="0"/>
            </w:tcBorders>
            <w:shd w:val="clear" w:color="auto" w:fill="auto"/>
            <w:vAlign w:val="center"/>
          </w:tcPr>
          <w:p>
            <w:pPr>
              <w:widowControl/>
              <w:spacing w:line="36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共4项</w:t>
            </w:r>
          </w:p>
        </w:tc>
      </w:tr>
      <w:tr>
        <w:tblPrEx>
          <w:tblCellMar>
            <w:top w:w="0" w:type="dxa"/>
            <w:left w:w="108" w:type="dxa"/>
            <w:bottom w:w="0" w:type="dxa"/>
            <w:right w:w="108" w:type="dxa"/>
          </w:tblCellMar>
        </w:tblPrEx>
        <w:trPr>
          <w:gridAfter w:val="1"/>
          <w:wAfter w:w="236" w:type="dxa"/>
          <w:trHeight w:val="675"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对生产经营单位执行有关安全生产的法律、法规和国家标准或者行业标准的情况进行监督检查。</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对烟花爆竹的安全监督检查。</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对危险化学品安全监督检查</w:t>
            </w:r>
          </w:p>
        </w:tc>
      </w:tr>
      <w:tr>
        <w:tblPrEx>
          <w:tblCellMar>
            <w:top w:w="0" w:type="dxa"/>
            <w:left w:w="108" w:type="dxa"/>
            <w:bottom w:w="0" w:type="dxa"/>
            <w:right w:w="108" w:type="dxa"/>
          </w:tblCellMar>
        </w:tblPrEx>
        <w:trPr>
          <w:gridAfter w:val="1"/>
          <w:wAfter w:w="236" w:type="dxa"/>
          <w:trHeight w:val="655" w:hRule="atLeast"/>
        </w:trPr>
        <w:tc>
          <w:tcPr>
            <w:tcW w:w="735" w:type="dxa"/>
            <w:tcBorders>
              <w:top w:val="nil"/>
              <w:left w:val="single" w:color="000000" w:sz="4" w:space="0"/>
              <w:bottom w:val="nil"/>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w:t>
            </w:r>
          </w:p>
        </w:tc>
        <w:tc>
          <w:tcPr>
            <w:tcW w:w="1215" w:type="dxa"/>
            <w:tcBorders>
              <w:top w:val="nil"/>
              <w:left w:val="nil"/>
              <w:bottom w:val="nil"/>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nil"/>
              <w:right w:val="single" w:color="000000"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对所辖区域内生产经营单位排查治理事故隐患工作依法实施综合监督检查</w:t>
            </w:r>
          </w:p>
        </w:tc>
      </w:tr>
      <w:tr>
        <w:tblPrEx>
          <w:tblCellMar>
            <w:top w:w="0" w:type="dxa"/>
            <w:left w:w="108" w:type="dxa"/>
            <w:bottom w:w="0" w:type="dxa"/>
            <w:right w:w="108" w:type="dxa"/>
          </w:tblCellMar>
        </w:tblPrEx>
        <w:trPr>
          <w:gridAfter w:val="1"/>
          <w:wAfter w:w="236" w:type="dxa"/>
          <w:trHeight w:val="326" w:hRule="atLeast"/>
        </w:trPr>
        <w:tc>
          <w:tcPr>
            <w:tcW w:w="735"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五</w:t>
            </w:r>
          </w:p>
        </w:tc>
        <w:tc>
          <w:tcPr>
            <w:tcW w:w="1215" w:type="dxa"/>
            <w:tcBorders>
              <w:top w:val="single" w:color="000000" w:sz="4" w:space="0"/>
              <w:left w:val="nil"/>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行政确认</w:t>
            </w:r>
          </w:p>
        </w:tc>
        <w:tc>
          <w:tcPr>
            <w:tcW w:w="6615" w:type="dxa"/>
            <w:tcBorders>
              <w:top w:val="single" w:color="000000" w:sz="4" w:space="0"/>
              <w:left w:val="nil"/>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共0项</w:t>
            </w:r>
          </w:p>
        </w:tc>
      </w:tr>
      <w:tr>
        <w:tblPrEx>
          <w:tblCellMar>
            <w:top w:w="0" w:type="dxa"/>
            <w:left w:w="108" w:type="dxa"/>
            <w:bottom w:w="0" w:type="dxa"/>
            <w:right w:w="108" w:type="dxa"/>
          </w:tblCellMar>
        </w:tblPrEx>
        <w:trPr>
          <w:gridAfter w:val="1"/>
          <w:wAfter w:w="236" w:type="dxa"/>
          <w:trHeight w:val="387" w:hRule="atLeast"/>
        </w:trPr>
        <w:tc>
          <w:tcPr>
            <w:tcW w:w="73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六</w:t>
            </w:r>
          </w:p>
        </w:tc>
        <w:tc>
          <w:tcPr>
            <w:tcW w:w="121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其他职权</w:t>
            </w:r>
          </w:p>
        </w:tc>
        <w:tc>
          <w:tcPr>
            <w:tcW w:w="6615" w:type="dxa"/>
            <w:tcBorders>
              <w:top w:val="nil"/>
              <w:left w:val="nil"/>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共5项</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w:t>
            </w:r>
          </w:p>
        </w:tc>
        <w:tc>
          <w:tcPr>
            <w:tcW w:w="121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nil"/>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建设项目安全设施审核</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w:t>
            </w:r>
          </w:p>
        </w:tc>
        <w:tc>
          <w:tcPr>
            <w:tcW w:w="1215" w:type="dxa"/>
            <w:tcBorders>
              <w:top w:val="nil"/>
              <w:left w:val="nil"/>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安全生产举报奖励</w:t>
            </w:r>
          </w:p>
        </w:tc>
      </w:tr>
      <w:tr>
        <w:tblPrEx>
          <w:tblCellMar>
            <w:top w:w="0" w:type="dxa"/>
            <w:left w:w="108" w:type="dxa"/>
            <w:bottom w:w="0" w:type="dxa"/>
            <w:right w:w="108" w:type="dxa"/>
          </w:tblCellMar>
        </w:tblPrEx>
        <w:trPr>
          <w:gridAfter w:val="1"/>
          <w:wAfter w:w="236" w:type="dxa"/>
          <w:trHeight w:val="326" w:hRule="atLeast"/>
        </w:trPr>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3</w:t>
            </w:r>
          </w:p>
        </w:tc>
        <w:tc>
          <w:tcPr>
            <w:tcW w:w="1215" w:type="dxa"/>
            <w:tcBorders>
              <w:top w:val="nil"/>
              <w:left w:val="single" w:color="000000" w:sz="4" w:space="0"/>
              <w:bottom w:val="single" w:color="000000"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安全生产应急预案备案</w:t>
            </w:r>
          </w:p>
        </w:tc>
      </w:tr>
      <w:tr>
        <w:tblPrEx>
          <w:tblCellMar>
            <w:top w:w="0" w:type="dxa"/>
            <w:left w:w="108" w:type="dxa"/>
            <w:bottom w:w="0" w:type="dxa"/>
            <w:right w:w="108" w:type="dxa"/>
          </w:tblCellMar>
        </w:tblPrEx>
        <w:trPr>
          <w:gridAfter w:val="1"/>
          <w:wAfter w:w="236" w:type="dxa"/>
          <w:trHeight w:val="326" w:hRule="atLeast"/>
        </w:trPr>
        <w:tc>
          <w:tcPr>
            <w:tcW w:w="735" w:type="dxa"/>
            <w:tcBorders>
              <w:top w:val="nil"/>
              <w:left w:val="single" w:color="000000" w:sz="4" w:space="0"/>
              <w:bottom w:val="single" w:color="000000"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w:t>
            </w:r>
          </w:p>
        </w:tc>
        <w:tc>
          <w:tcPr>
            <w:tcW w:w="1215" w:type="dxa"/>
            <w:tcBorders>
              <w:top w:val="nil"/>
              <w:left w:val="nil"/>
              <w:bottom w:val="nil"/>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nil"/>
              <w:left w:val="single" w:color="auto" w:sz="4" w:space="0"/>
              <w:bottom w:val="nil"/>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rPr>
            </w:pPr>
            <w:r>
              <w:rPr>
                <w:rFonts w:hint="eastAsia" w:ascii="仿宋_GB2312" w:hAnsi="宋体" w:eastAsia="仿宋_GB2312" w:cs="宋体"/>
                <w:kern w:val="0"/>
                <w:sz w:val="24"/>
              </w:rPr>
              <w:t>危险化学品经营许可证变更</w:t>
            </w:r>
          </w:p>
        </w:tc>
      </w:tr>
      <w:tr>
        <w:tblPrEx>
          <w:tblCellMar>
            <w:top w:w="0" w:type="dxa"/>
            <w:left w:w="108" w:type="dxa"/>
            <w:bottom w:w="0" w:type="dxa"/>
            <w:right w:w="108" w:type="dxa"/>
          </w:tblCellMar>
        </w:tblPrEx>
        <w:trPr>
          <w:gridAfter w:val="1"/>
          <w:wAfter w:w="236" w:type="dxa"/>
          <w:trHeight w:val="336" w:hRule="atLeast"/>
        </w:trPr>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w:t>
            </w:r>
          </w:p>
        </w:tc>
        <w:tc>
          <w:tcPr>
            <w:tcW w:w="1215" w:type="dxa"/>
            <w:tcBorders>
              <w:top w:val="single" w:color="auto" w:sz="4" w:space="0"/>
              <w:left w:val="nil"/>
              <w:bottom w:val="single" w:color="auto" w:sz="4" w:space="0"/>
              <w:right w:val="nil"/>
            </w:tcBorders>
            <w:shd w:val="clear" w:color="auto" w:fill="auto"/>
            <w:vAlign w:val="center"/>
          </w:tcPr>
          <w:p>
            <w:pPr>
              <w:widowControl/>
              <w:spacing w:line="36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66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分配、管理自然灾害救助款物</w:t>
            </w:r>
          </w:p>
        </w:tc>
      </w:tr>
    </w:tbl>
    <w:p>
      <w:bookmarkStart w:id="0" w:name="_GoBack"/>
      <w:bookmarkEnd w:id="0"/>
    </w:p>
    <w:sectPr>
      <w:footerReference r:id="rId3" w:type="default"/>
      <w:pgSz w:w="11906" w:h="16838"/>
      <w:pgMar w:top="1701" w:right="1701" w:bottom="1701" w:left="1701" w:header="567"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创艺简标宋">
    <w:altName w:val="宋体"/>
    <w:panose1 w:val="00000000000000000000"/>
    <w:charset w:val="86"/>
    <w:family w:val="roma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pPr>
                      <w:pStyle w:val="4"/>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733"/>
    <w:rsid w:val="00020EE7"/>
    <w:rsid w:val="00087DEE"/>
    <w:rsid w:val="002D2888"/>
    <w:rsid w:val="003F6733"/>
    <w:rsid w:val="00424968"/>
    <w:rsid w:val="00560299"/>
    <w:rsid w:val="00656FD1"/>
    <w:rsid w:val="006E243D"/>
    <w:rsid w:val="006F71F4"/>
    <w:rsid w:val="0084426C"/>
    <w:rsid w:val="00854DCE"/>
    <w:rsid w:val="00946B9F"/>
    <w:rsid w:val="009745DD"/>
    <w:rsid w:val="00A51E4A"/>
    <w:rsid w:val="00AC2E4D"/>
    <w:rsid w:val="00D32BDF"/>
    <w:rsid w:val="09D65CB8"/>
    <w:rsid w:val="1AE11507"/>
    <w:rsid w:val="327876A9"/>
    <w:rsid w:val="3D0A634B"/>
    <w:rsid w:val="46A172FE"/>
    <w:rsid w:val="60202D92"/>
    <w:rsid w:val="6C194009"/>
    <w:rsid w:val="6C4260D3"/>
    <w:rsid w:val="7B89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heme="minorHAnsi" w:hAnsiTheme="minorHAnsi" w:eastAsiaTheme="minorEastAsia" w:cstheme="minorBidi"/>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0"/>
    <w:pPr>
      <w:spacing w:after="120"/>
    </w:pPr>
    <w:rPr>
      <w:rFonts w:cs="Calibri" w:eastAsiaTheme="minorEastAsia"/>
      <w:szCs w:val="21"/>
    </w:rPr>
  </w:style>
  <w:style w:type="paragraph" w:styleId="4">
    <w:name w:val="footer"/>
    <w:basedOn w:val="1"/>
    <w:link w:val="13"/>
    <w:qFormat/>
    <w:uiPriority w:val="0"/>
    <w:pPr>
      <w:tabs>
        <w:tab w:val="center" w:pos="4153"/>
        <w:tab w:val="right" w:pos="8306"/>
      </w:tabs>
      <w:snapToGrid w:val="0"/>
      <w:jc w:val="left"/>
    </w:pPr>
    <w:rPr>
      <w:rFonts w:asciiTheme="minorHAnsi" w:hAnsiTheme="minorHAnsi" w:eastAsiaTheme="minorEastAsia" w:cstheme="minorBidi"/>
      <w:sz w:val="18"/>
    </w:rPr>
  </w:style>
  <w:style w:type="paragraph" w:styleId="5">
    <w:name w:val="header"/>
    <w:basedOn w:val="1"/>
    <w:link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heme="minorHAnsi" w:hAnsiTheme="minorHAnsi" w:eastAsiaTheme="minorEastAsia" w:cstheme="minorBidi"/>
      <w:sz w:val="18"/>
    </w:rPr>
  </w:style>
  <w:style w:type="paragraph" w:styleId="6">
    <w:name w:val="HTML Preformatted"/>
    <w:basedOn w:val="1"/>
    <w:link w:val="15"/>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Theme="minorEastAsia" w:cstheme="minorBidi"/>
      <w:kern w:val="0"/>
      <w:sz w:val="24"/>
    </w:rPr>
  </w:style>
  <w:style w:type="paragraph" w:styleId="7">
    <w:name w:val="Normal (Web)"/>
    <w:basedOn w:val="1"/>
    <w:qFormat/>
    <w:uiPriority w:val="0"/>
    <w:pPr>
      <w:spacing w:beforeAutospacing="1" w:afterAutospacing="1"/>
      <w:jc w:val="left"/>
    </w:pPr>
    <w:rPr>
      <w:rFonts w:asciiTheme="minorHAnsi" w:hAnsiTheme="minorHAnsi" w:eastAsiaTheme="minorEastAsia" w:cstheme="minorBidi"/>
      <w:kern w:val="0"/>
      <w:sz w:val="24"/>
    </w:rPr>
  </w:style>
  <w:style w:type="character" w:styleId="10">
    <w:name w:val="page number"/>
    <w:basedOn w:val="9"/>
    <w:qFormat/>
    <w:uiPriority w:val="0"/>
  </w:style>
  <w:style w:type="character" w:customStyle="1" w:styleId="11">
    <w:name w:val="标题 1 Char"/>
    <w:basedOn w:val="9"/>
    <w:link w:val="2"/>
    <w:qFormat/>
    <w:uiPriority w:val="0"/>
    <w:rPr>
      <w:rFonts w:asciiTheme="minorHAnsi" w:hAnsiTheme="minorHAnsi" w:eastAsiaTheme="minorEastAsia" w:cstheme="minorBidi"/>
      <w:b/>
      <w:bCs/>
      <w:kern w:val="44"/>
      <w:sz w:val="44"/>
      <w:szCs w:val="44"/>
    </w:rPr>
  </w:style>
  <w:style w:type="character" w:customStyle="1" w:styleId="12">
    <w:name w:val="页眉 Char"/>
    <w:basedOn w:val="9"/>
    <w:link w:val="5"/>
    <w:qFormat/>
    <w:uiPriority w:val="0"/>
    <w:rPr>
      <w:rFonts w:asciiTheme="minorHAnsi" w:hAnsiTheme="minorHAnsi" w:eastAsiaTheme="minorEastAsia" w:cstheme="minorBidi"/>
      <w:kern w:val="2"/>
      <w:sz w:val="18"/>
      <w:szCs w:val="24"/>
    </w:rPr>
  </w:style>
  <w:style w:type="character" w:customStyle="1" w:styleId="13">
    <w:name w:val="页脚 Char"/>
    <w:basedOn w:val="9"/>
    <w:link w:val="4"/>
    <w:qFormat/>
    <w:uiPriority w:val="0"/>
    <w:rPr>
      <w:rFonts w:asciiTheme="minorHAnsi" w:hAnsiTheme="minorHAnsi" w:eastAsiaTheme="minorEastAsia" w:cstheme="minorBidi"/>
      <w:kern w:val="2"/>
      <w:sz w:val="18"/>
      <w:szCs w:val="24"/>
    </w:rPr>
  </w:style>
  <w:style w:type="character" w:customStyle="1" w:styleId="14">
    <w:name w:val="正文文本 Char"/>
    <w:basedOn w:val="9"/>
    <w:link w:val="3"/>
    <w:qFormat/>
    <w:uiPriority w:val="0"/>
    <w:rPr>
      <w:rFonts w:cs="Calibri" w:eastAsiaTheme="minorEastAsia"/>
      <w:kern w:val="2"/>
      <w:sz w:val="21"/>
      <w:szCs w:val="21"/>
    </w:rPr>
  </w:style>
  <w:style w:type="character" w:customStyle="1" w:styleId="15">
    <w:name w:val="HTML 预设格式 Char"/>
    <w:basedOn w:val="9"/>
    <w:link w:val="6"/>
    <w:qFormat/>
    <w:uiPriority w:val="99"/>
    <w:rPr>
      <w:rFonts w:ascii="宋体" w:hAnsi="宋体" w:eastAsiaTheme="minorEastAsia" w:cstheme="minorBidi"/>
      <w:sz w:val="24"/>
      <w:szCs w:val="24"/>
    </w:rPr>
  </w:style>
  <w:style w:type="paragraph" w:customStyle="1" w:styleId="16">
    <w:name w:val="Body Text First Indent1"/>
    <w:basedOn w:val="3"/>
    <w:qFormat/>
    <w:uiPriority w:val="0"/>
    <w:pPr>
      <w:ind w:firstLine="420" w:firstLineChars="100"/>
    </w:pPr>
  </w:style>
  <w:style w:type="paragraph" w:customStyle="1" w:styleId="17">
    <w:name w:val="p0"/>
    <w:basedOn w:val="1"/>
    <w:qFormat/>
    <w:uiPriority w:val="99"/>
    <w:pPr>
      <w:widowControl/>
    </w:pPr>
    <w:rPr>
      <w:rFonts w:asciiTheme="minorHAnsi" w:hAnsiTheme="minorHAnsi" w:eastAsiaTheme="minorEastAsia" w:cstheme="minorBidi"/>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9</Pages>
  <Words>1050</Words>
  <Characters>5989</Characters>
  <Lines>49</Lines>
  <Paragraphs>14</Paragraphs>
  <TotalTime>15</TotalTime>
  <ScaleCrop>false</ScaleCrop>
  <LinksUpToDate>false</LinksUpToDate>
  <CharactersWithSpaces>7025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2019-12-16T09:16:00Z</dcterms:created>
  <dc:creator>Sky123.Org</dc:creator>
  <cp:lastModifiedBy>Administrator</cp:lastModifiedBy>
  <cp:lastPrinted>2019-12-30T01:54:00Z</cp:lastPrinted>
  <dcterms:modified xsi:type="dcterms:W3CDTF">2022-03-05T07:49:48Z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7DD53816E4D24F248AEA740B359FCF9B</vt:lpwstr>
  </property>
</Properties>
</file>