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pPr>
      <w:bookmarkStart w:id="0" w:name="_Toc11908"/>
    </w:p>
    <w:p>
      <w:pPr>
        <w:ind w:firstLine="0" w:firstLineChars="0"/>
        <w:jc w:val="center"/>
        <w:rPr>
          <w:rFonts w:ascii="宋体" w:hAnsi="宋体" w:eastAsia="宋体"/>
          <w:b/>
          <w:sz w:val="52"/>
          <w:szCs w:val="52"/>
        </w:rPr>
      </w:pPr>
    </w:p>
    <w:p>
      <w:pPr>
        <w:pStyle w:val="24"/>
        <w:rPr>
          <w:rFonts w:ascii="宋体" w:hAnsi="宋体" w:cs="宋体"/>
          <w:sz w:val="52"/>
          <w:szCs w:val="52"/>
        </w:rPr>
      </w:pPr>
      <w:r>
        <w:rPr>
          <w:rFonts w:hint="eastAsia" w:ascii="宋体" w:hAnsi="宋体" w:cs="宋体"/>
          <w:i w:val="0"/>
          <w:iCs w:val="0"/>
          <w:caps w:val="0"/>
          <w:color w:val="3D3D3D"/>
          <w:spacing w:val="0"/>
          <w:sz w:val="52"/>
          <w:szCs w:val="52"/>
          <w:shd w:val="clear" w:color="auto" w:fill="FFFFFF"/>
          <w:lang w:val="en-US" w:eastAsia="zh-CN"/>
        </w:rPr>
        <w:t>数字化改造工程</w:t>
      </w:r>
      <w:r>
        <w:rPr>
          <w:rFonts w:hint="eastAsia" w:ascii="宋体" w:hAnsi="宋体" w:cs="宋体"/>
          <w:sz w:val="52"/>
          <w:szCs w:val="52"/>
        </w:rPr>
        <w:t>项目</w:t>
      </w:r>
    </w:p>
    <w:p>
      <w:pPr>
        <w:pStyle w:val="24"/>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6"/>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hint="eastAsia" w:ascii="宋体" w:hAnsi="宋体" w:eastAsia="宋体"/>
          <w:b/>
          <w:highlight w:val="none"/>
          <w:lang w:eastAsia="zh-CN"/>
        </w:rPr>
      </w:pPr>
      <w:r>
        <w:rPr>
          <w:rFonts w:hint="eastAsia" w:ascii="宋体" w:hAnsi="宋体" w:eastAsia="宋体"/>
          <w:b/>
          <w:highlight w:val="none"/>
        </w:rPr>
        <w:t>自评单位：</w:t>
      </w:r>
      <w:r>
        <w:rPr>
          <w:rFonts w:hint="eastAsia" w:ascii="宋体" w:hAnsi="宋体" w:eastAsia="宋体"/>
          <w:b/>
          <w:highlight w:val="none"/>
          <w:lang w:eastAsia="zh-CN"/>
        </w:rPr>
        <w:t>太康县融媒体中心</w:t>
      </w:r>
    </w:p>
    <w:p>
      <w:pPr>
        <w:ind w:firstLine="0" w:firstLineChars="0"/>
        <w:jc w:val="center"/>
        <w:rPr>
          <w:highlight w:val="yellow"/>
        </w:rPr>
        <w:sectPr>
          <w:pgSz w:w="11906" w:h="16838"/>
          <w:pgMar w:top="1440" w:right="1800" w:bottom="1440" w:left="1800" w:header="851" w:footer="992" w:gutter="0"/>
          <w:pgNumType w:fmt="decimal"/>
          <w:cols w:space="425" w:num="1"/>
          <w:docGrid w:type="lines" w:linePitch="312" w:charSpace="0"/>
        </w:sectPr>
      </w:pPr>
      <w:r>
        <w:rPr>
          <w:rFonts w:hint="eastAsia" w:ascii="宋体" w:hAnsi="宋体" w:eastAsia="宋体"/>
          <w:b/>
          <w:highlight w:val="none"/>
        </w:rPr>
        <w:t>日</w:t>
      </w:r>
      <w:r>
        <w:rPr>
          <w:rFonts w:ascii="宋体" w:hAnsi="宋体" w:eastAsia="宋体"/>
          <w:b/>
          <w:highlight w:val="none"/>
        </w:rPr>
        <w:t xml:space="preserve">    </w:t>
      </w:r>
      <w:r>
        <w:rPr>
          <w:rFonts w:hint="eastAsia" w:ascii="宋体" w:hAnsi="宋体" w:eastAsia="宋体"/>
          <w:b/>
          <w:highlight w:val="none"/>
        </w:rPr>
        <w:t>期：</w:t>
      </w:r>
      <w:r>
        <w:rPr>
          <w:rFonts w:hint="eastAsia" w:ascii="宋体" w:hAnsi="宋体" w:eastAsia="宋体"/>
          <w:b/>
          <w:highlight w:val="none"/>
          <w:lang w:val="en-US" w:eastAsia="zh-CN"/>
        </w:rPr>
        <w:t>2022</w:t>
      </w:r>
      <w:r>
        <w:rPr>
          <w:rFonts w:hint="eastAsia" w:ascii="宋体" w:hAnsi="宋体" w:eastAsia="宋体"/>
          <w:b/>
          <w:highlight w:val="none"/>
        </w:rPr>
        <w:t>年</w:t>
      </w:r>
      <w:r>
        <w:rPr>
          <w:rFonts w:hint="eastAsia" w:ascii="宋体" w:hAnsi="宋体" w:eastAsia="宋体"/>
          <w:b/>
          <w:bCs w:val="0"/>
          <w:highlight w:val="none"/>
          <w:lang w:val="en-US" w:eastAsia="zh-CN"/>
        </w:rPr>
        <w:t>5</w:t>
      </w:r>
      <w:r>
        <w:rPr>
          <w:rFonts w:hint="eastAsia" w:ascii="仿宋" w:hAnsi="仿宋" w:eastAsia="仿宋" w:cs="仿宋"/>
          <w:b/>
          <w:bCs w:val="0"/>
          <w:sz w:val="32"/>
          <w:szCs w:val="32"/>
          <w:highlight w:val="none"/>
        </w:rPr>
        <w:t>月</w:t>
      </w:r>
      <w:r>
        <w:rPr>
          <w:rFonts w:hint="eastAsia" w:ascii="仿宋" w:hAnsi="仿宋" w:eastAsia="仿宋" w:cs="仿宋"/>
          <w:b/>
          <w:bCs w:val="0"/>
          <w:sz w:val="32"/>
          <w:szCs w:val="32"/>
          <w:highlight w:val="none"/>
          <w:lang w:val="en-US" w:eastAsia="zh-CN"/>
        </w:rPr>
        <w:t>10日</w:t>
      </w:r>
    </w:p>
    <w:p>
      <w:pPr>
        <w:ind w:firstLine="0" w:firstLineChars="0"/>
        <w:jc w:val="center"/>
        <w:rPr>
          <w:b/>
          <w:bCs/>
          <w:highlight w:val="yellow"/>
        </w:rPr>
      </w:pPr>
      <w:r>
        <w:rPr>
          <w:rFonts w:hint="eastAsia"/>
          <w:b/>
          <w:bCs/>
          <w:sz w:val="36"/>
          <w:szCs w:val="36"/>
          <w:highlight w:val="none"/>
        </w:rPr>
        <w:t>目</w:t>
      </w:r>
      <w:r>
        <w:rPr>
          <w:b/>
          <w:bCs/>
          <w:sz w:val="36"/>
          <w:szCs w:val="36"/>
          <w:highlight w:val="none"/>
        </w:rPr>
        <w:t xml:space="preserve"> </w:t>
      </w:r>
      <w:r>
        <w:rPr>
          <w:rFonts w:hint="eastAsia"/>
          <w:b/>
          <w:bCs/>
          <w:sz w:val="36"/>
          <w:szCs w:val="36"/>
          <w:highlight w:val="none"/>
        </w:rPr>
        <w:t xml:space="preserve"> 录</w:t>
      </w:r>
    </w:p>
    <w:p>
      <w:pPr>
        <w:pStyle w:val="10"/>
        <w:tabs>
          <w:tab w:val="right" w:leader="dot" w:pos="8306"/>
          <w:tab w:val="clear" w:pos="8296"/>
        </w:tabs>
      </w:pPr>
      <w:r>
        <w:fldChar w:fldCharType="begin"/>
      </w:r>
      <w:r>
        <w:instrText xml:space="preserve">TOC \o "1-2" \h \u </w:instrText>
      </w:r>
      <w:r>
        <w:fldChar w:fldCharType="separate"/>
      </w:r>
      <w:r>
        <w:fldChar w:fldCharType="begin"/>
      </w:r>
      <w:r>
        <w:instrText xml:space="preserve"> HYPERLINK \l "_Toc11574" </w:instrText>
      </w:r>
      <w:r>
        <w:fldChar w:fldCharType="separate"/>
      </w:r>
      <w:r>
        <w:rPr>
          <w:rFonts w:hint="eastAsia"/>
        </w:rPr>
        <w:t>一、项目基本情况</w:t>
      </w:r>
      <w:r>
        <w:tab/>
      </w:r>
      <w:r>
        <w:fldChar w:fldCharType="begin"/>
      </w:r>
      <w:r>
        <w:instrText xml:space="preserve"> PAGEREF _Toc11574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"_Toc9575" </w:instrText>
      </w:r>
      <w:r>
        <w:fldChar w:fldCharType="separate"/>
      </w:r>
      <w:r>
        <w:rPr>
          <w:rFonts w:hint="eastAsia"/>
        </w:rPr>
        <w:t>（一）项目基本信息</w:t>
      </w:r>
      <w:r>
        <w:tab/>
      </w:r>
      <w:r>
        <w:fldChar w:fldCharType="begin"/>
      </w:r>
      <w:r>
        <w:instrText xml:space="preserve"> PAGEREF _Toc9575 \h </w:instrText>
      </w:r>
      <w:r>
        <w:fldChar w:fldCharType="separate"/>
      </w:r>
      <w:r>
        <w:t>1</w:t>
      </w:r>
      <w:r>
        <w:fldChar w:fldCharType="end"/>
      </w:r>
      <w:r>
        <w:fldChar w:fldCharType="end"/>
      </w:r>
    </w:p>
    <w:p>
      <w:pPr>
        <w:pStyle w:val="11"/>
        <w:tabs>
          <w:tab w:val="right" w:leader="dot" w:pos="8306"/>
        </w:tabs>
        <w:ind w:left="640"/>
      </w:pPr>
      <w:r>
        <w:fldChar w:fldCharType="begin"/>
      </w:r>
      <w:r>
        <w:instrText xml:space="preserve"> HYPERLINK \l "_Toc17607" </w:instrText>
      </w:r>
      <w:r>
        <w:fldChar w:fldCharType="separate"/>
      </w:r>
      <w:r>
        <w:rPr>
          <w:rFonts w:hint="eastAsia"/>
        </w:rPr>
        <w:t>（二）项目支出情况</w:t>
      </w:r>
      <w:r>
        <w:tab/>
      </w:r>
      <w:r>
        <w:fldChar w:fldCharType="begin"/>
      </w:r>
      <w:r>
        <w:instrText xml:space="preserve"> PAGEREF _Toc17607 \h </w:instrText>
      </w:r>
      <w:r>
        <w:fldChar w:fldCharType="separate"/>
      </w:r>
      <w:r>
        <w:t>2</w:t>
      </w:r>
      <w:r>
        <w:fldChar w:fldCharType="end"/>
      </w:r>
      <w:r>
        <w:fldChar w:fldCharType="end"/>
      </w:r>
    </w:p>
    <w:p>
      <w:pPr>
        <w:pStyle w:val="10"/>
        <w:tabs>
          <w:tab w:val="right" w:leader="dot" w:pos="8306"/>
          <w:tab w:val="clear" w:pos="8296"/>
        </w:tabs>
      </w:pPr>
      <w:r>
        <w:fldChar w:fldCharType="begin"/>
      </w:r>
      <w:r>
        <w:instrText xml:space="preserve"> HYPERLINK \l "_Toc1209" </w:instrText>
      </w:r>
      <w:r>
        <w:fldChar w:fldCharType="separate"/>
      </w:r>
      <w:r>
        <w:rPr>
          <w:rFonts w:hint="eastAsia"/>
        </w:rPr>
        <w:t>二、绩效自评工作开展情况</w:t>
      </w:r>
      <w:r>
        <w:tab/>
      </w:r>
      <w:r>
        <w:fldChar w:fldCharType="begin"/>
      </w:r>
      <w:r>
        <w:instrText xml:space="preserve"> PAGEREF _Toc1209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"_Toc2270" </w:instrText>
      </w:r>
      <w:r>
        <w:fldChar w:fldCharType="separate"/>
      </w:r>
      <w:r>
        <w:rPr>
          <w:rFonts w:hint="eastAsia"/>
        </w:rPr>
        <w:t>（一）绩效自评价目的和意义</w:t>
      </w:r>
      <w:r>
        <w:tab/>
      </w:r>
      <w:r>
        <w:fldChar w:fldCharType="begin"/>
      </w:r>
      <w:r>
        <w:instrText xml:space="preserve"> PAGEREF _Toc2270 \h </w:instrText>
      </w:r>
      <w:r>
        <w:fldChar w:fldCharType="separate"/>
      </w:r>
      <w:r>
        <w:t>2</w:t>
      </w:r>
      <w:r>
        <w:fldChar w:fldCharType="end"/>
      </w:r>
      <w:r>
        <w:fldChar w:fldCharType="end"/>
      </w:r>
    </w:p>
    <w:p>
      <w:pPr>
        <w:pStyle w:val="11"/>
        <w:tabs>
          <w:tab w:val="right" w:leader="dot" w:pos="8306"/>
        </w:tabs>
        <w:ind w:left="640"/>
      </w:pPr>
      <w:r>
        <w:fldChar w:fldCharType="begin"/>
      </w:r>
      <w:r>
        <w:instrText xml:space="preserve"> HYPERLINK \l "_Toc5617" </w:instrText>
      </w:r>
      <w:r>
        <w:fldChar w:fldCharType="separate"/>
      </w:r>
      <w:r>
        <w:rPr>
          <w:rFonts w:hint="eastAsia"/>
        </w:rPr>
        <w:t>（二）绩效自评价对象和范围</w:t>
      </w:r>
      <w:r>
        <w:tab/>
      </w:r>
      <w:r>
        <w:fldChar w:fldCharType="begin"/>
      </w:r>
      <w:r>
        <w:instrText xml:space="preserve"> PAGEREF _Toc5617 \h </w:instrText>
      </w:r>
      <w:r>
        <w:fldChar w:fldCharType="separate"/>
      </w:r>
      <w:r>
        <w:t>3</w:t>
      </w:r>
      <w:r>
        <w:fldChar w:fldCharType="end"/>
      </w:r>
      <w:r>
        <w:fldChar w:fldCharType="end"/>
      </w:r>
    </w:p>
    <w:p>
      <w:pPr>
        <w:pStyle w:val="11"/>
        <w:tabs>
          <w:tab w:val="right" w:leader="dot" w:pos="8306"/>
        </w:tabs>
        <w:ind w:left="640"/>
      </w:pPr>
      <w:r>
        <w:fldChar w:fldCharType="begin"/>
      </w:r>
      <w:r>
        <w:instrText xml:space="preserve"> HYPERLINK \l "_Toc12774" </w:instrText>
      </w:r>
      <w:r>
        <w:fldChar w:fldCharType="separate"/>
      </w:r>
      <w:r>
        <w:rPr>
          <w:rFonts w:hint="eastAsia"/>
        </w:rPr>
        <w:t>（三）绩效评价的依据</w:t>
      </w:r>
      <w:r>
        <w:tab/>
      </w:r>
      <w:r>
        <w:fldChar w:fldCharType="begin"/>
      </w:r>
      <w:r>
        <w:instrText xml:space="preserve"> PAGEREF _Toc12774 \h </w:instrText>
      </w:r>
      <w:r>
        <w:fldChar w:fldCharType="separate"/>
      </w:r>
      <w:r>
        <w:t>3</w:t>
      </w:r>
      <w:r>
        <w:fldChar w:fldCharType="end"/>
      </w:r>
      <w:r>
        <w:fldChar w:fldCharType="end"/>
      </w:r>
    </w:p>
    <w:p>
      <w:pPr>
        <w:pStyle w:val="11"/>
        <w:tabs>
          <w:tab w:val="right" w:leader="dot" w:pos="8306"/>
        </w:tabs>
        <w:ind w:left="640"/>
      </w:pPr>
      <w:r>
        <w:fldChar w:fldCharType="begin"/>
      </w:r>
      <w:r>
        <w:instrText xml:space="preserve"> HYPERLINK \l "_Toc9578" </w:instrText>
      </w:r>
      <w:r>
        <w:fldChar w:fldCharType="separate"/>
      </w:r>
      <w:r>
        <w:rPr>
          <w:rFonts w:hint="eastAsia"/>
        </w:rPr>
        <w:t>（四）评分方法</w:t>
      </w:r>
      <w:r>
        <w:tab/>
      </w:r>
      <w:r>
        <w:fldChar w:fldCharType="begin"/>
      </w:r>
      <w:r>
        <w:instrText xml:space="preserve"> PAGEREF _Toc9578 \h </w:instrText>
      </w:r>
      <w:r>
        <w:fldChar w:fldCharType="separate"/>
      </w:r>
      <w:r>
        <w:t>3</w:t>
      </w:r>
      <w:r>
        <w:fldChar w:fldCharType="end"/>
      </w:r>
      <w:r>
        <w:fldChar w:fldCharType="end"/>
      </w:r>
    </w:p>
    <w:p>
      <w:pPr>
        <w:pStyle w:val="11"/>
        <w:tabs>
          <w:tab w:val="right" w:leader="dot" w:pos="8306"/>
        </w:tabs>
        <w:ind w:left="640"/>
      </w:pPr>
      <w:r>
        <w:fldChar w:fldCharType="begin"/>
      </w:r>
      <w:r>
        <w:instrText xml:space="preserve"> HYPERLINK \l "_Toc489" </w:instrText>
      </w:r>
      <w:r>
        <w:fldChar w:fldCharType="separate"/>
      </w:r>
      <w:r>
        <w:rPr>
          <w:rFonts w:hint="eastAsia"/>
        </w:rPr>
        <w:t>（五）绩效自评工作组织</w:t>
      </w:r>
      <w:r>
        <w:tab/>
      </w:r>
      <w:r>
        <w:fldChar w:fldCharType="begin"/>
      </w:r>
      <w:r>
        <w:instrText xml:space="preserve"> PAGEREF _Toc489 \h </w:instrText>
      </w:r>
      <w:r>
        <w:fldChar w:fldCharType="separate"/>
      </w:r>
      <w:r>
        <w:t>4</w:t>
      </w:r>
      <w:r>
        <w:fldChar w:fldCharType="end"/>
      </w:r>
      <w:r>
        <w:fldChar w:fldCharType="end"/>
      </w:r>
    </w:p>
    <w:p>
      <w:pPr>
        <w:pStyle w:val="10"/>
        <w:tabs>
          <w:tab w:val="right" w:leader="dot" w:pos="8306"/>
          <w:tab w:val="clear" w:pos="8296"/>
        </w:tabs>
      </w:pPr>
      <w:r>
        <w:fldChar w:fldCharType="begin"/>
      </w:r>
      <w:r>
        <w:instrText xml:space="preserve"> HYPERLINK \l "_Toc24506" </w:instrText>
      </w:r>
      <w:r>
        <w:fldChar w:fldCharType="separate"/>
      </w:r>
      <w:r>
        <w:rPr>
          <w:rFonts w:hint="eastAsia"/>
        </w:rPr>
        <w:t>三、绩效自评结果及分析</w:t>
      </w:r>
      <w:r>
        <w:tab/>
      </w:r>
      <w:r>
        <w:fldChar w:fldCharType="begin"/>
      </w:r>
      <w:r>
        <w:instrText xml:space="preserve"> PAGEREF _Toc24506 \h </w:instrText>
      </w:r>
      <w:r>
        <w:fldChar w:fldCharType="separate"/>
      </w:r>
      <w:r>
        <w:t>5</w:t>
      </w:r>
      <w:r>
        <w:fldChar w:fldCharType="end"/>
      </w:r>
      <w:r>
        <w:fldChar w:fldCharType="end"/>
      </w:r>
    </w:p>
    <w:p>
      <w:pPr>
        <w:pStyle w:val="11"/>
        <w:tabs>
          <w:tab w:val="right" w:leader="dot" w:pos="8306"/>
        </w:tabs>
        <w:ind w:left="640"/>
      </w:pPr>
      <w:r>
        <w:fldChar w:fldCharType="begin"/>
      </w:r>
      <w:r>
        <w:instrText xml:space="preserve"> HYPERLINK \l "_Toc25356" </w:instrText>
      </w:r>
      <w:r>
        <w:fldChar w:fldCharType="separate"/>
      </w:r>
      <w:r>
        <w:t>（一）绩效自评价结果</w:t>
      </w:r>
      <w:r>
        <w:tab/>
      </w:r>
      <w:r>
        <w:fldChar w:fldCharType="begin"/>
      </w:r>
      <w:r>
        <w:instrText xml:space="preserve"> PAGEREF _Toc25356 \h </w:instrText>
      </w:r>
      <w:r>
        <w:fldChar w:fldCharType="separate"/>
      </w:r>
      <w:r>
        <w:t>5</w:t>
      </w:r>
      <w:r>
        <w:fldChar w:fldCharType="end"/>
      </w:r>
      <w:r>
        <w:fldChar w:fldCharType="end"/>
      </w:r>
    </w:p>
    <w:p>
      <w:pPr>
        <w:pStyle w:val="11"/>
        <w:tabs>
          <w:tab w:val="right" w:leader="dot" w:pos="8306"/>
        </w:tabs>
        <w:ind w:left="640"/>
      </w:pPr>
      <w:r>
        <w:fldChar w:fldCharType="begin"/>
      </w:r>
      <w:r>
        <w:instrText xml:space="preserve"> HYPERLINK \l "_Toc24245" </w:instrText>
      </w:r>
      <w:r>
        <w:fldChar w:fldCharType="separate"/>
      </w:r>
      <w:r>
        <w:rPr>
          <w:rFonts w:hint="eastAsia"/>
        </w:rPr>
        <w:t>（二）自评指标分析</w:t>
      </w:r>
      <w:r>
        <w:tab/>
      </w:r>
      <w:r>
        <w:fldChar w:fldCharType="begin"/>
      </w:r>
      <w:r>
        <w:instrText xml:space="preserve"> PAGEREF _Toc24245 \h </w:instrText>
      </w:r>
      <w:r>
        <w:fldChar w:fldCharType="separate"/>
      </w:r>
      <w:r>
        <w:t>6</w:t>
      </w:r>
      <w:r>
        <w:fldChar w:fldCharType="end"/>
      </w:r>
      <w:r>
        <w:fldChar w:fldCharType="end"/>
      </w:r>
    </w:p>
    <w:p>
      <w:pPr>
        <w:pStyle w:val="10"/>
        <w:tabs>
          <w:tab w:val="right" w:leader="dot" w:pos="8306"/>
          <w:tab w:val="clear" w:pos="8296"/>
        </w:tabs>
      </w:pPr>
      <w:r>
        <w:fldChar w:fldCharType="begin"/>
      </w:r>
      <w:r>
        <w:instrText xml:space="preserve"> HYPERLINK \l "_Toc1809" </w:instrText>
      </w:r>
      <w:r>
        <w:fldChar w:fldCharType="separate"/>
      </w:r>
      <w:r>
        <w:rPr>
          <w:rFonts w:hint="eastAsia"/>
        </w:rPr>
        <w:t>四、成果和问题</w:t>
      </w:r>
      <w:r>
        <w:tab/>
      </w:r>
      <w:r>
        <w:fldChar w:fldCharType="begin"/>
      </w:r>
      <w:r>
        <w:instrText xml:space="preserve"> PAGEREF _Toc1809 \h </w:instrText>
      </w:r>
      <w:r>
        <w:fldChar w:fldCharType="separate"/>
      </w:r>
      <w:r>
        <w:t>8</w:t>
      </w:r>
      <w:r>
        <w:fldChar w:fldCharType="end"/>
      </w:r>
      <w:r>
        <w:fldChar w:fldCharType="end"/>
      </w:r>
    </w:p>
    <w:p>
      <w:pPr>
        <w:pStyle w:val="11"/>
        <w:tabs>
          <w:tab w:val="right" w:leader="dot" w:pos="8306"/>
        </w:tabs>
        <w:ind w:left="640"/>
      </w:pPr>
      <w:r>
        <w:fldChar w:fldCharType="begin"/>
      </w:r>
      <w:r>
        <w:instrText xml:space="preserve"> HYPERLINK \l "_Toc30565" </w:instrText>
      </w:r>
      <w:r>
        <w:fldChar w:fldCharType="separate"/>
      </w:r>
      <w:r>
        <w:rPr>
          <w:rFonts w:hint="eastAsia"/>
        </w:rPr>
        <w:t>（一）项目实施的成果</w:t>
      </w:r>
      <w:r>
        <w:tab/>
      </w:r>
      <w:r>
        <w:fldChar w:fldCharType="begin"/>
      </w:r>
      <w:r>
        <w:instrText xml:space="preserve"> PAGEREF _Toc30565 \h </w:instrText>
      </w:r>
      <w:r>
        <w:fldChar w:fldCharType="separate"/>
      </w:r>
      <w:r>
        <w:t>8</w:t>
      </w:r>
      <w:r>
        <w:fldChar w:fldCharType="end"/>
      </w:r>
      <w:r>
        <w:fldChar w:fldCharType="end"/>
      </w:r>
    </w:p>
    <w:p>
      <w:pPr>
        <w:pStyle w:val="11"/>
        <w:tabs>
          <w:tab w:val="right" w:leader="dot" w:pos="8306"/>
        </w:tabs>
        <w:ind w:left="640"/>
      </w:pPr>
      <w:r>
        <w:fldChar w:fldCharType="begin"/>
      </w:r>
      <w:r>
        <w:instrText xml:space="preserve"> HYPERLINK \l "_Toc30691" </w:instrText>
      </w:r>
      <w:r>
        <w:fldChar w:fldCharType="separate"/>
      </w:r>
      <w:r>
        <w:rPr>
          <w:rFonts w:hint="eastAsia"/>
        </w:rPr>
        <w:t>（二）项目存在的问题</w:t>
      </w:r>
      <w:r>
        <w:tab/>
      </w:r>
      <w:r>
        <w:fldChar w:fldCharType="begin"/>
      </w:r>
      <w:r>
        <w:instrText xml:space="preserve"> PAGEREF _Toc30691 \h </w:instrText>
      </w:r>
      <w:r>
        <w:fldChar w:fldCharType="separate"/>
      </w:r>
      <w:r>
        <w:t>8</w:t>
      </w:r>
      <w:r>
        <w:fldChar w:fldCharType="end"/>
      </w:r>
      <w:r>
        <w:fldChar w:fldCharType="end"/>
      </w:r>
    </w:p>
    <w:p>
      <w:pPr>
        <w:pStyle w:val="10"/>
        <w:tabs>
          <w:tab w:val="right" w:leader="dot" w:pos="8306"/>
          <w:tab w:val="clear" w:pos="8296"/>
        </w:tabs>
      </w:pPr>
      <w:r>
        <w:fldChar w:fldCharType="begin"/>
      </w:r>
      <w:r>
        <w:instrText xml:space="preserve"> HYPERLINK \l "_Toc6382" </w:instrText>
      </w:r>
      <w:r>
        <w:fldChar w:fldCharType="separate"/>
      </w:r>
      <w:r>
        <w:rPr>
          <w:rFonts w:hint="eastAsia"/>
        </w:rPr>
        <w:t>五、建议</w:t>
      </w:r>
      <w:r>
        <w:tab/>
      </w:r>
      <w:r>
        <w:fldChar w:fldCharType="begin"/>
      </w:r>
      <w:r>
        <w:instrText xml:space="preserve"> PAGEREF _Toc6382 \h </w:instrText>
      </w:r>
      <w:r>
        <w:fldChar w:fldCharType="separate"/>
      </w:r>
      <w:r>
        <w:t>9</w:t>
      </w:r>
      <w:r>
        <w:fldChar w:fldCharType="end"/>
      </w:r>
      <w:r>
        <w:fldChar w:fldCharType="end"/>
      </w:r>
    </w:p>
    <w:p>
      <w:pPr>
        <w:pStyle w:val="11"/>
        <w:tabs>
          <w:tab w:val="right" w:leader="dot" w:pos="8306"/>
        </w:tabs>
        <w:ind w:left="640"/>
      </w:pPr>
      <w:r>
        <w:fldChar w:fldCharType="begin"/>
      </w:r>
      <w:r>
        <w:instrText xml:space="preserve"> HYPERLINK \l "_Toc18797" </w:instrText>
      </w:r>
      <w:r>
        <w:fldChar w:fldCharType="separate"/>
      </w:r>
      <w:r>
        <w:rPr>
          <w:rFonts w:hint="eastAsia"/>
        </w:rPr>
        <w:t>（一）强化预算绩效管理意识，提升项目产出效益</w:t>
      </w:r>
      <w:r>
        <w:tab/>
      </w:r>
      <w:r>
        <w:fldChar w:fldCharType="begin"/>
      </w:r>
      <w:r>
        <w:instrText xml:space="preserve"> PAGEREF _Toc18797 \h </w:instrText>
      </w:r>
      <w:r>
        <w:fldChar w:fldCharType="separate"/>
      </w:r>
      <w:r>
        <w:t>9</w:t>
      </w:r>
      <w:r>
        <w:fldChar w:fldCharType="end"/>
      </w:r>
      <w:r>
        <w:fldChar w:fldCharType="end"/>
      </w:r>
    </w:p>
    <w:p>
      <w:pPr>
        <w:pStyle w:val="11"/>
        <w:tabs>
          <w:tab w:val="right" w:leader="dot" w:pos="8306"/>
        </w:tabs>
        <w:ind w:left="640"/>
      </w:pPr>
      <w:r>
        <w:fldChar w:fldCharType="begin"/>
      </w:r>
      <w:r>
        <w:instrText xml:space="preserve"> HYPERLINK \l "_Toc19326" </w:instrText>
      </w:r>
      <w:r>
        <w:fldChar w:fldCharType="separate"/>
      </w:r>
      <w:r>
        <w:rPr>
          <w:rFonts w:hint="eastAsia"/>
        </w:rPr>
        <w:t>（二）加强学习培训，进一步提高绩效管理水平</w:t>
      </w:r>
      <w:r>
        <w:tab/>
      </w:r>
      <w:r>
        <w:fldChar w:fldCharType="begin"/>
      </w:r>
      <w:r>
        <w:instrText xml:space="preserve"> PAGEREF _Toc19326 \h </w:instrText>
      </w:r>
      <w:r>
        <w:fldChar w:fldCharType="separate"/>
      </w:r>
      <w:r>
        <w:t>9</w:t>
      </w:r>
      <w:r>
        <w:fldChar w:fldCharType="end"/>
      </w:r>
      <w:r>
        <w:fldChar w:fldCharType="end"/>
      </w:r>
    </w:p>
    <w:p>
      <w:pPr>
        <w:pStyle w:val="11"/>
        <w:tabs>
          <w:tab w:val="right" w:leader="dot" w:pos="8306"/>
        </w:tabs>
        <w:ind w:left="640"/>
      </w:pPr>
      <w:r>
        <w:fldChar w:fldCharType="begin"/>
      </w:r>
      <w:r>
        <w:instrText xml:space="preserve"> HYPERLINK \l "_Toc24402" </w:instrText>
      </w:r>
      <w:r>
        <w:fldChar w:fldCharType="separate"/>
      </w:r>
      <w:r>
        <w:rPr>
          <w:rFonts w:hint="eastAsia"/>
        </w:rPr>
        <w:t>（三）分析原因，提高</w:t>
      </w:r>
      <w:r>
        <w:rPr>
          <w:rFonts w:hint="eastAsia"/>
          <w:lang w:eastAsia="zh-CN"/>
        </w:rPr>
        <w:t>工作</w:t>
      </w:r>
      <w:r>
        <w:rPr>
          <w:rFonts w:hint="eastAsia"/>
        </w:rPr>
        <w:t>效率</w:t>
      </w:r>
      <w:r>
        <w:tab/>
      </w:r>
      <w:r>
        <w:fldChar w:fldCharType="begin"/>
      </w:r>
      <w:r>
        <w:instrText xml:space="preserve"> PAGEREF _Toc24402 \h </w:instrText>
      </w:r>
      <w:r>
        <w:fldChar w:fldCharType="separate"/>
      </w:r>
      <w:r>
        <w:t>9</w:t>
      </w:r>
      <w:r>
        <w:fldChar w:fldCharType="end"/>
      </w:r>
      <w:r>
        <w:fldChar w:fldCharType="end"/>
      </w:r>
    </w:p>
    <w:p>
      <w:pPr>
        <w:pStyle w:val="10"/>
        <w:tabs>
          <w:tab w:val="right" w:leader="dot" w:pos="8306"/>
          <w:tab w:val="clear" w:pos="8296"/>
        </w:tabs>
      </w:pPr>
      <w:r>
        <w:fldChar w:fldCharType="begin"/>
      </w:r>
      <w:r>
        <w:instrText xml:space="preserve"> HYPERLINK \l "_Toc6061" </w:instrText>
      </w:r>
      <w:r>
        <w:fldChar w:fldCharType="separate"/>
      </w:r>
      <w:r>
        <w:rPr>
          <w:rFonts w:hint="eastAsia"/>
        </w:rPr>
        <w:t>六、其他需要说明的问题</w:t>
      </w:r>
      <w:r>
        <w:tab/>
      </w:r>
      <w:r>
        <w:fldChar w:fldCharType="begin"/>
      </w:r>
      <w:r>
        <w:instrText xml:space="preserve"> PAGEREF _Toc6061 \h </w:instrText>
      </w:r>
      <w:r>
        <w:fldChar w:fldCharType="separate"/>
      </w:r>
      <w:r>
        <w:t>10</w:t>
      </w:r>
      <w:r>
        <w:fldChar w:fldCharType="end"/>
      </w:r>
      <w:r>
        <w:fldChar w:fldCharType="end"/>
      </w:r>
    </w:p>
    <w:p>
      <w:pPr>
        <w:pStyle w:val="10"/>
        <w:tabs>
          <w:tab w:val="right" w:leader="dot" w:pos="8306"/>
          <w:tab w:val="clear" w:pos="8296"/>
        </w:tabs>
      </w:pPr>
      <w:r>
        <w:fldChar w:fldCharType="begin"/>
      </w:r>
      <w:r>
        <w:instrText xml:space="preserve"> HYPERLINK \l "_Toc3394" </w:instrText>
      </w:r>
      <w:r>
        <w:fldChar w:fldCharType="separate"/>
      </w:r>
      <w:r>
        <w:rPr>
          <w:rFonts w:hint="eastAsia"/>
        </w:rPr>
        <w:t>七、附件</w:t>
      </w:r>
      <w:r>
        <w:tab/>
      </w:r>
      <w:r>
        <w:fldChar w:fldCharType="begin"/>
      </w:r>
      <w:r>
        <w:instrText xml:space="preserve"> PAGEREF _Toc3394 \h </w:instrText>
      </w:r>
      <w:r>
        <w:fldChar w:fldCharType="separate"/>
      </w:r>
      <w:r>
        <w:t>10</w:t>
      </w:r>
      <w:r>
        <w:fldChar w:fldCharType="end"/>
      </w:r>
      <w:r>
        <w:fldChar w:fldCharType="end"/>
      </w:r>
    </w:p>
    <w:p>
      <w:pPr>
        <w:pStyle w:val="11"/>
        <w:tabs>
          <w:tab w:val="right" w:leader="dot" w:pos="8306"/>
        </w:tabs>
        <w:ind w:left="640"/>
      </w:pPr>
      <w:r>
        <w:fldChar w:fldCharType="begin"/>
      </w:r>
      <w:r>
        <w:instrText xml:space="preserve"> HYPERLINK \l "_Toc8706" </w:instrText>
      </w:r>
      <w:r>
        <w:fldChar w:fldCharType="separate"/>
      </w:r>
      <w:r>
        <w:rPr>
          <w:rFonts w:hint="eastAsia"/>
        </w:rPr>
        <w:t>附件一：项目绩效自评表</w:t>
      </w:r>
      <w:r>
        <w:tab/>
      </w:r>
      <w:r>
        <w:fldChar w:fldCharType="begin"/>
      </w:r>
      <w:r>
        <w:instrText xml:space="preserve"> PAGEREF _Toc8706 \h </w:instrText>
      </w:r>
      <w:r>
        <w:fldChar w:fldCharType="separate"/>
      </w:r>
      <w:r>
        <w:t>11</w:t>
      </w:r>
      <w:r>
        <w:fldChar w:fldCharType="end"/>
      </w:r>
      <w:r>
        <w:fldChar w:fldCharType="end"/>
      </w:r>
    </w:p>
    <w:p>
      <w:pPr>
        <w:ind w:firstLine="640"/>
        <w:sectPr>
          <w:footerReference r:id="rId5" w:type="default"/>
          <w:pgSz w:w="11906" w:h="16838"/>
          <w:pgMar w:top="1440" w:right="1800" w:bottom="1440" w:left="1800" w:header="851" w:footer="737" w:gutter="0"/>
          <w:pgNumType w:fmt="decimal" w:start="1"/>
          <w:cols w:space="425" w:num="1"/>
          <w:docGrid w:type="lines" w:linePitch="312" w:charSpace="0"/>
        </w:sectPr>
      </w:pPr>
      <w:r>
        <w:fldChar w:fldCharType="end"/>
      </w:r>
    </w:p>
    <w:p>
      <w:pPr>
        <w:pStyle w:val="2"/>
      </w:pPr>
      <w:bookmarkStart w:id="1" w:name="_Toc79333430"/>
      <w:bookmarkStart w:id="2" w:name="_Toc11574"/>
      <w:r>
        <w:rPr>
          <w:rFonts w:hint="eastAsia"/>
        </w:rPr>
        <w:t>一、项目基本情况</w:t>
      </w:r>
      <w:bookmarkEnd w:id="0"/>
      <w:bookmarkEnd w:id="1"/>
      <w:bookmarkEnd w:id="2"/>
    </w:p>
    <w:p>
      <w:pPr>
        <w:pStyle w:val="3"/>
      </w:pPr>
      <w:bookmarkStart w:id="3" w:name="_Toc79333431"/>
      <w:bookmarkStart w:id="4" w:name="_Toc9575"/>
      <w:bookmarkStart w:id="5" w:name="_Toc8110"/>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rPr>
          <w:rFonts w:hint="eastAsia" w:ascii="仿宋" w:hAnsi="仿宋" w:eastAsia="仿宋" w:cs="仿宋"/>
          <w:b w:val="0"/>
          <w:bCs w:val="0"/>
          <w:sz w:val="32"/>
          <w:szCs w:val="32"/>
          <w:lang w:val="en-US" w:eastAsia="zh-CN"/>
        </w:rPr>
      </w:pPr>
      <w:r>
        <w:rPr>
          <w:rFonts w:hint="eastAsia" w:ascii="仿宋" w:hAnsi="仿宋" w:eastAsia="仿宋" w:cs="仿宋"/>
          <w:sz w:val="32"/>
          <w:szCs w:val="32"/>
          <w:lang w:eastAsia="zh-CN"/>
        </w:rPr>
        <w:t>太康县融媒体中心是党的新闻舆论工作的重要阵地，是地方和政府的重要执政资源，是引导群众、服务群众的重要平台。只有及时、准确的进行新闻舆论的报道，才能更好地彰显太康经济社会发展成效及社会进步。</w:t>
      </w:r>
    </w:p>
    <w:p>
      <w:pPr>
        <w:pStyle w:val="4"/>
        <w:ind w:firstLine="643"/>
        <w:rPr>
          <w:rFonts w:hint="eastAsia" w:ascii="仿宋" w:hAnsi="仿宋" w:eastAsia="仿宋" w:cs="仿宋"/>
          <w:b w:val="0"/>
          <w:bCs w:val="0"/>
          <w:lang w:val="en-US" w:eastAsia="zh-CN"/>
        </w:rPr>
      </w:pPr>
      <w:bookmarkStart w:id="7" w:name="_Toc79333433"/>
      <w:r>
        <w:rPr>
          <w:rFonts w:hint="eastAsia" w:ascii="仿宋" w:hAnsi="仿宋" w:eastAsia="仿宋" w:cs="仿宋"/>
          <w:b w:val="0"/>
          <w:bCs w:val="0"/>
          <w:lang w:eastAsia="zh-CN"/>
        </w:rPr>
        <w:t>根据《河南省财政厅关于下达</w:t>
      </w:r>
      <w:r>
        <w:rPr>
          <w:rFonts w:hint="eastAsia" w:ascii="仿宋" w:hAnsi="仿宋" w:eastAsia="仿宋" w:cs="仿宋"/>
          <w:b w:val="0"/>
          <w:bCs w:val="0"/>
          <w:lang w:val="en-US" w:eastAsia="zh-CN"/>
        </w:rPr>
        <w:t>2020年中央支持地方公共文化服务体系建设专项资金预算的通知</w:t>
      </w:r>
      <w:r>
        <w:rPr>
          <w:rFonts w:hint="eastAsia" w:ascii="仿宋" w:hAnsi="仿宋" w:eastAsia="仿宋" w:cs="仿宋"/>
          <w:b w:val="0"/>
          <w:bCs w:val="0"/>
          <w:lang w:eastAsia="zh-CN"/>
        </w:rPr>
        <w:t>》（豫财文【</w:t>
      </w:r>
      <w:r>
        <w:rPr>
          <w:rFonts w:hint="eastAsia" w:ascii="仿宋" w:hAnsi="仿宋" w:eastAsia="仿宋" w:cs="仿宋"/>
          <w:b w:val="0"/>
          <w:bCs w:val="0"/>
          <w:lang w:val="en-US" w:eastAsia="zh-CN"/>
        </w:rPr>
        <w:t>2020</w:t>
      </w:r>
      <w:r>
        <w:rPr>
          <w:rFonts w:hint="eastAsia" w:ascii="仿宋" w:hAnsi="仿宋" w:eastAsia="仿宋" w:cs="仿宋"/>
          <w:b w:val="0"/>
          <w:bCs w:val="0"/>
          <w:lang w:eastAsia="zh-CN"/>
        </w:rPr>
        <w:t>】</w:t>
      </w:r>
      <w:r>
        <w:rPr>
          <w:rFonts w:hint="eastAsia" w:ascii="仿宋" w:hAnsi="仿宋" w:eastAsia="仿宋" w:cs="仿宋"/>
          <w:b w:val="0"/>
          <w:bCs w:val="0"/>
          <w:lang w:val="en-US" w:eastAsia="zh-CN"/>
        </w:rPr>
        <w:t>61号</w:t>
      </w:r>
      <w:r>
        <w:rPr>
          <w:rFonts w:hint="eastAsia" w:ascii="仿宋" w:hAnsi="仿宋" w:eastAsia="仿宋" w:cs="仿宋"/>
          <w:b w:val="0"/>
          <w:bCs w:val="0"/>
          <w:lang w:eastAsia="zh-CN"/>
        </w:rPr>
        <w:t>）、《周口市文化广电和旅游局关于中央公共文化服务体系专项建设资金分配因素》、《中共周口市委宣传部关于申请政局购买你、中心城区影院公益放映场次的函》等，现下达你县（区）</w:t>
      </w:r>
      <w:r>
        <w:rPr>
          <w:rFonts w:hint="eastAsia" w:ascii="仿宋" w:hAnsi="仿宋" w:eastAsia="仿宋" w:cs="仿宋"/>
          <w:b w:val="0"/>
          <w:bCs w:val="0"/>
          <w:lang w:val="en-US" w:eastAsia="zh-CN"/>
        </w:rPr>
        <w:t>2020年中央支持地方公共文化服务体系建设资金。向广大群众提供电视节目。</w:t>
      </w:r>
    </w:p>
    <w:p>
      <w:pPr>
        <w:pStyle w:val="4"/>
        <w:ind w:firstLine="643"/>
      </w:pPr>
      <w:r>
        <w:rPr>
          <w:rFonts w:hint="eastAsia"/>
        </w:rPr>
        <w:t>2、项目实施内容</w:t>
      </w:r>
      <w:bookmarkEnd w:id="7"/>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本次项目实施内容主要</w:t>
      </w:r>
      <w:bookmarkStart w:id="8" w:name="_Toc14372"/>
      <w:r>
        <w:rPr>
          <w:rFonts w:hint="eastAsia" w:ascii="仿宋" w:hAnsi="仿宋" w:eastAsia="仿宋" w:cs="仿宋"/>
          <w:i w:val="0"/>
          <w:iCs w:val="0"/>
          <w:caps w:val="0"/>
          <w:color w:val="3D3D3D"/>
          <w:spacing w:val="0"/>
          <w:sz w:val="32"/>
          <w:szCs w:val="32"/>
          <w:shd w:val="clear" w:color="auto" w:fill="FFFFFF"/>
          <w:lang w:val="en-US" w:eastAsia="zh-CN"/>
        </w:rPr>
        <w:t>：通过地面无线形式提供广播、电视节目20套</w:t>
      </w:r>
      <w:r>
        <w:rPr>
          <w:rFonts w:hint="eastAsia" w:ascii="仿宋" w:hAnsi="仿宋" w:eastAsia="仿宋" w:cs="仿宋"/>
          <w:sz w:val="32"/>
          <w:szCs w:val="32"/>
          <w:highlight w:val="none"/>
        </w:rPr>
        <w:t>。</w:t>
      </w:r>
    </w:p>
    <w:p>
      <w:pPr>
        <w:pStyle w:val="3"/>
      </w:pPr>
      <w:bookmarkStart w:id="9" w:name="_Toc17607"/>
      <w:bookmarkStart w:id="10" w:name="_Toc79333434"/>
      <w:r>
        <w:rPr>
          <w:rFonts w:hint="eastAsia"/>
        </w:rPr>
        <w:t>（二）项目支出情况</w:t>
      </w:r>
      <w:bookmarkEnd w:id="8"/>
      <w:bookmarkEnd w:id="9"/>
      <w:bookmarkEnd w:id="10"/>
    </w:p>
    <w:p>
      <w:pPr>
        <w:pStyle w:val="4"/>
        <w:ind w:firstLine="643"/>
      </w:pPr>
      <w:bookmarkStart w:id="11" w:name="_Toc28118"/>
      <w:bookmarkStart w:id="12" w:name="_Toc79333435"/>
      <w:r>
        <w:rPr>
          <w:rFonts w:hint="eastAsia"/>
        </w:rPr>
        <w:t>1、项目预算情况</w:t>
      </w:r>
      <w:bookmarkEnd w:id="11"/>
      <w:bookmarkEnd w:id="12"/>
    </w:p>
    <w:p>
      <w:pPr>
        <w:ind w:firstLine="640"/>
      </w:pPr>
      <w:r>
        <w:rPr>
          <w:rFonts w:hint="eastAsia" w:ascii="仿宋" w:hAnsi="仿宋" w:eastAsia="仿宋" w:cs="仿宋"/>
          <w:sz w:val="32"/>
          <w:szCs w:val="32"/>
          <w:highlight w:val="none"/>
        </w:rPr>
        <w:t>项目于2021年共申请财政资金</w:t>
      </w:r>
      <w:r>
        <w:rPr>
          <w:rFonts w:hint="eastAsia" w:ascii="仿宋" w:hAnsi="仿宋" w:eastAsia="仿宋" w:cs="仿宋"/>
          <w:i w:val="0"/>
          <w:iCs w:val="0"/>
          <w:caps w:val="0"/>
          <w:color w:val="3D3D3D"/>
          <w:spacing w:val="0"/>
          <w:sz w:val="32"/>
          <w:szCs w:val="32"/>
          <w:highlight w:val="none"/>
          <w:shd w:val="clear" w:color="auto" w:fill="FFFFFF"/>
          <w:lang w:val="en-US" w:eastAsia="zh-CN"/>
        </w:rPr>
        <w:t>11.2万</w:t>
      </w:r>
      <w:r>
        <w:rPr>
          <w:rFonts w:hint="eastAsia" w:ascii="仿宋" w:hAnsi="仿宋" w:eastAsia="仿宋" w:cs="仿宋"/>
          <w:sz w:val="32"/>
          <w:szCs w:val="32"/>
          <w:highlight w:val="none"/>
        </w:rPr>
        <w:t>元，当年实际执行</w:t>
      </w:r>
      <w:r>
        <w:rPr>
          <w:rFonts w:hint="eastAsia" w:ascii="仿宋" w:hAnsi="仿宋" w:eastAsia="仿宋" w:cs="仿宋"/>
          <w:i w:val="0"/>
          <w:iCs w:val="0"/>
          <w:caps w:val="0"/>
          <w:color w:val="3D3D3D"/>
          <w:spacing w:val="0"/>
          <w:sz w:val="32"/>
          <w:szCs w:val="32"/>
          <w:highlight w:val="none"/>
          <w:shd w:val="clear" w:color="auto" w:fill="FFFFFF"/>
          <w:lang w:val="en-US" w:eastAsia="zh-CN"/>
        </w:rPr>
        <w:t>11.2</w:t>
      </w:r>
      <w:r>
        <w:rPr>
          <w:rFonts w:hint="eastAsia" w:ascii="仿宋" w:hAnsi="仿宋" w:eastAsia="仿宋" w:cs="仿宋"/>
          <w:sz w:val="32"/>
          <w:szCs w:val="32"/>
          <w:highlight w:val="none"/>
        </w:rPr>
        <w:t>万元。</w:t>
      </w:r>
    </w:p>
    <w:p>
      <w:pPr>
        <w:pStyle w:val="4"/>
        <w:ind w:firstLine="643"/>
      </w:pPr>
      <w:bookmarkStart w:id="13" w:name="_Toc79333436"/>
      <w:bookmarkStart w:id="14" w:name="_Toc18098"/>
      <w:r>
        <w:rPr>
          <w:rFonts w:hint="eastAsia"/>
        </w:rPr>
        <w:t>2、项目预算执行情况</w:t>
      </w:r>
      <w:bookmarkEnd w:id="13"/>
      <w:bookmarkEnd w:id="14"/>
    </w:p>
    <w:p>
      <w:pPr>
        <w:ind w:firstLine="640"/>
        <w:jc w:val="left"/>
        <w:rPr>
          <w:rFonts w:hint="eastAsia" w:ascii="仿宋" w:hAnsi="仿宋" w:eastAsia="仿宋" w:cs="仿宋"/>
          <w:sz w:val="32"/>
          <w:szCs w:val="32"/>
          <w:highlight w:val="none"/>
        </w:rPr>
      </w:pPr>
      <w:r>
        <w:rPr>
          <w:rFonts w:hint="eastAsia" w:ascii="仿宋" w:hAnsi="仿宋" w:eastAsia="仿宋" w:cs="仿宋"/>
          <w:sz w:val="32"/>
          <w:szCs w:val="32"/>
          <w:highlight w:val="none"/>
        </w:rPr>
        <w:t>项目实际支出</w:t>
      </w:r>
      <w:r>
        <w:rPr>
          <w:rFonts w:hint="eastAsia" w:ascii="仿宋" w:hAnsi="仿宋" w:eastAsia="仿宋" w:cs="仿宋"/>
          <w:i w:val="0"/>
          <w:iCs w:val="0"/>
          <w:caps w:val="0"/>
          <w:color w:val="3D3D3D"/>
          <w:spacing w:val="0"/>
          <w:sz w:val="32"/>
          <w:szCs w:val="32"/>
          <w:highlight w:val="none"/>
          <w:shd w:val="clear" w:color="auto" w:fill="FFFFFF"/>
          <w:lang w:val="en-US" w:eastAsia="zh-CN"/>
        </w:rPr>
        <w:t>11.2</w:t>
      </w:r>
      <w:r>
        <w:rPr>
          <w:rFonts w:hint="eastAsia" w:ascii="仿宋" w:hAnsi="仿宋" w:eastAsia="仿宋" w:cs="仿宋"/>
          <w:sz w:val="32"/>
          <w:szCs w:val="32"/>
          <w:highlight w:val="none"/>
        </w:rPr>
        <w:t>万元。</w:t>
      </w:r>
    </w:p>
    <w:p>
      <w:pPr>
        <w:pStyle w:val="2"/>
      </w:pPr>
      <w:bookmarkStart w:id="15" w:name="_Toc75871361"/>
      <w:bookmarkStart w:id="16" w:name="_Toc1209"/>
      <w:bookmarkStart w:id="17" w:name="_Toc10420"/>
      <w:bookmarkStart w:id="18" w:name="_Toc79333437"/>
      <w:r>
        <w:rPr>
          <w:rFonts w:hint="eastAsia"/>
        </w:rPr>
        <w:t>二、绩效自评工作开展情况</w:t>
      </w:r>
      <w:bookmarkEnd w:id="15"/>
      <w:bookmarkEnd w:id="16"/>
      <w:bookmarkEnd w:id="17"/>
      <w:bookmarkEnd w:id="18"/>
    </w:p>
    <w:p>
      <w:pPr>
        <w:pStyle w:val="3"/>
      </w:pPr>
      <w:bookmarkStart w:id="19" w:name="_Toc2270"/>
      <w:bookmarkStart w:id="20" w:name="_Toc79333438"/>
      <w:bookmarkStart w:id="21" w:name="_Toc75871362"/>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75871363"/>
      <w:bookmarkStart w:id="23" w:name="_Toc5617"/>
      <w:bookmarkStart w:id="24" w:name="_Toc79333439"/>
      <w:bookmarkStart w:id="25" w:name="_Toc3060"/>
      <w:r>
        <w:rPr>
          <w:rFonts w:hint="eastAsia"/>
        </w:rPr>
        <w:t>（二）绩效自评价对象和范围</w:t>
      </w:r>
      <w:bookmarkEnd w:id="22"/>
      <w:bookmarkEnd w:id="23"/>
      <w:bookmarkEnd w:id="24"/>
      <w:bookmarkEnd w:id="25"/>
    </w:p>
    <w:p>
      <w:pPr>
        <w:ind w:firstLine="640"/>
      </w:pPr>
      <w:r>
        <w:rPr>
          <w:rFonts w:hint="eastAsia" w:ascii="仿宋" w:hAnsi="仿宋" w:eastAsia="仿宋" w:cs="仿宋"/>
          <w:sz w:val="32"/>
          <w:szCs w:val="32"/>
          <w:highlight w:val="none"/>
        </w:rPr>
        <w:t>本次绩效自评价对象为2021年</w:t>
      </w:r>
      <w:r>
        <w:rPr>
          <w:rFonts w:hint="eastAsia" w:ascii="仿宋" w:hAnsi="仿宋" w:eastAsia="仿宋" w:cs="仿宋"/>
          <w:i w:val="0"/>
          <w:iCs w:val="0"/>
          <w:caps w:val="0"/>
          <w:color w:val="3D3D3D"/>
          <w:spacing w:val="0"/>
          <w:sz w:val="32"/>
          <w:szCs w:val="32"/>
          <w:highlight w:val="none"/>
          <w:shd w:val="clear" w:color="auto" w:fill="FFFFFF"/>
          <w:lang w:val="en-US" w:eastAsia="zh-CN"/>
        </w:rPr>
        <w:t>数字化改造工程</w:t>
      </w:r>
      <w:r>
        <w:rPr>
          <w:rFonts w:hint="eastAsia" w:ascii="仿宋" w:hAnsi="仿宋" w:eastAsia="仿宋" w:cs="仿宋"/>
          <w:sz w:val="32"/>
          <w:szCs w:val="32"/>
          <w:highlight w:val="none"/>
        </w:rPr>
        <w:t>建设项目专项资金，评价范围为涉及该项目管理及其预算资金</w:t>
      </w:r>
      <w:r>
        <w:rPr>
          <w:rFonts w:hint="eastAsia" w:ascii="仿宋" w:hAnsi="仿宋" w:eastAsia="仿宋" w:cs="仿宋"/>
          <w:i w:val="0"/>
          <w:iCs w:val="0"/>
          <w:caps w:val="0"/>
          <w:color w:val="3D3D3D"/>
          <w:spacing w:val="0"/>
          <w:sz w:val="32"/>
          <w:szCs w:val="32"/>
          <w:highlight w:val="none"/>
          <w:shd w:val="clear" w:color="auto" w:fill="FFFFFF"/>
          <w:lang w:val="en-US" w:eastAsia="zh-CN"/>
        </w:rPr>
        <w:t>11.2</w:t>
      </w:r>
      <w:r>
        <w:rPr>
          <w:rFonts w:hint="eastAsia" w:ascii="仿宋" w:hAnsi="仿宋" w:eastAsia="仿宋" w:cs="仿宋"/>
          <w:sz w:val="32"/>
          <w:szCs w:val="32"/>
          <w:highlight w:val="none"/>
        </w:rPr>
        <w:t>万元的使用情况。</w:t>
      </w:r>
    </w:p>
    <w:p>
      <w:pPr>
        <w:pStyle w:val="3"/>
      </w:pPr>
      <w:bookmarkStart w:id="26" w:name="_Toc75871364"/>
      <w:bookmarkStart w:id="27" w:name="_Toc12774"/>
      <w:bookmarkStart w:id="28" w:name="_Toc79333440"/>
      <w:bookmarkStart w:id="29" w:name="_Toc8160"/>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ascii="仿宋" w:hAnsi="仿宋" w:eastAsia="仿宋" w:cs="仿宋"/>
          <w:b w:val="0"/>
          <w:bCs w:val="0"/>
          <w:lang w:eastAsia="zh-CN"/>
        </w:rPr>
        <w:t>《河南省财政厅关于下达</w:t>
      </w:r>
      <w:r>
        <w:rPr>
          <w:rFonts w:hint="eastAsia" w:ascii="仿宋" w:hAnsi="仿宋" w:eastAsia="仿宋" w:cs="仿宋"/>
          <w:b w:val="0"/>
          <w:bCs w:val="0"/>
          <w:lang w:val="en-US" w:eastAsia="zh-CN"/>
        </w:rPr>
        <w:t>2020年中央支持地方公共文化服务体系建设专项资金预算的通知</w:t>
      </w:r>
      <w:r>
        <w:rPr>
          <w:rFonts w:hint="eastAsia" w:ascii="仿宋" w:hAnsi="仿宋" w:eastAsia="仿宋" w:cs="仿宋"/>
          <w:b w:val="0"/>
          <w:bCs w:val="0"/>
          <w:lang w:eastAsia="zh-CN"/>
        </w:rPr>
        <w:t>》（豫财文【</w:t>
      </w:r>
      <w:r>
        <w:rPr>
          <w:rFonts w:hint="eastAsia" w:ascii="仿宋" w:hAnsi="仿宋" w:eastAsia="仿宋" w:cs="仿宋"/>
          <w:b w:val="0"/>
          <w:bCs w:val="0"/>
          <w:lang w:val="en-US" w:eastAsia="zh-CN"/>
        </w:rPr>
        <w:t>2020</w:t>
      </w:r>
      <w:r>
        <w:rPr>
          <w:rFonts w:hint="eastAsia" w:ascii="仿宋" w:hAnsi="仿宋" w:eastAsia="仿宋" w:cs="仿宋"/>
          <w:b w:val="0"/>
          <w:bCs w:val="0"/>
          <w:lang w:eastAsia="zh-CN"/>
        </w:rPr>
        <w:t>】</w:t>
      </w:r>
      <w:r>
        <w:rPr>
          <w:rFonts w:hint="eastAsia" w:ascii="仿宋" w:hAnsi="仿宋" w:eastAsia="仿宋" w:cs="仿宋"/>
          <w:b w:val="0"/>
          <w:bCs w:val="0"/>
          <w:lang w:val="en-US" w:eastAsia="zh-CN"/>
        </w:rPr>
        <w:t>61号</w:t>
      </w:r>
      <w:r>
        <w:rPr>
          <w:rFonts w:hint="eastAsia" w:ascii="仿宋" w:hAnsi="仿宋" w:eastAsia="仿宋" w:cs="仿宋"/>
          <w:b w:val="0"/>
          <w:bCs w:val="0"/>
          <w:lang w:eastAsia="zh-CN"/>
        </w:rPr>
        <w:t>）</w:t>
      </w:r>
      <w:r>
        <w:rPr>
          <w:rFonts w:hint="eastAsia" w:cs="仿宋"/>
          <w:b w:val="0"/>
          <w:bCs w:val="0"/>
          <w:lang w:eastAsia="zh-CN"/>
        </w:rPr>
        <w:t>；</w:t>
      </w:r>
    </w:p>
    <w:p>
      <w:pPr>
        <w:numPr>
          <w:ilvl w:val="0"/>
          <w:numId w:val="1"/>
        </w:numPr>
        <w:ind w:firstLine="640"/>
      </w:pPr>
      <w:r>
        <w:rPr>
          <w:rFonts w:hint="eastAsia" w:ascii="仿宋" w:hAnsi="仿宋" w:eastAsia="仿宋" w:cs="仿宋"/>
          <w:b w:val="0"/>
          <w:bCs w:val="0"/>
          <w:lang w:eastAsia="zh-CN"/>
        </w:rPr>
        <w:t>《周口市文化广电和旅游局关于中央公共文化服务体系专项建设资金分配因素》</w:t>
      </w:r>
      <w:r>
        <w:rPr>
          <w:rFonts w:hint="eastAsia" w:cs="仿宋"/>
          <w:b w:val="0"/>
          <w:bCs w:val="0"/>
          <w:lang w:eastAsia="zh-CN"/>
        </w:rPr>
        <w:t>；</w:t>
      </w:r>
    </w:p>
    <w:p>
      <w:pPr>
        <w:numPr>
          <w:ilvl w:val="0"/>
          <w:numId w:val="1"/>
        </w:numPr>
        <w:ind w:firstLine="640"/>
      </w:pPr>
      <w:r>
        <w:rPr>
          <w:rFonts w:hint="eastAsia" w:ascii="仿宋" w:hAnsi="仿宋" w:eastAsia="仿宋" w:cs="仿宋"/>
          <w:b w:val="0"/>
          <w:bCs w:val="0"/>
          <w:lang w:eastAsia="zh-CN"/>
        </w:rPr>
        <w:t>《中共周口市委宣传部关于申请政局购买你、中心城区影院公益放映场次的函》</w:t>
      </w:r>
      <w:r>
        <w:rPr>
          <w:rFonts w:hint="eastAsia" w:cs="仿宋"/>
          <w:b w:val="0"/>
          <w:bCs w:val="0"/>
          <w:lang w:eastAsia="zh-CN"/>
        </w:rPr>
        <w:t>。</w:t>
      </w:r>
    </w:p>
    <w:p>
      <w:pPr>
        <w:pStyle w:val="3"/>
      </w:pPr>
      <w:bookmarkStart w:id="30" w:name="_Toc75871365"/>
      <w:bookmarkStart w:id="31" w:name="_Toc79333441"/>
      <w:bookmarkStart w:id="32" w:name="_Toc13521"/>
      <w:bookmarkStart w:id="33" w:name="_Toc9578"/>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79333442"/>
      <w:bookmarkStart w:id="36" w:name="_Toc75871366"/>
      <w:bookmarkStart w:id="37" w:name="_Toc489"/>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pStyle w:val="2"/>
      </w:pPr>
      <w:bookmarkStart w:id="38" w:name="_Toc79333443"/>
      <w:bookmarkStart w:id="39" w:name="_Toc24506"/>
      <w:bookmarkStart w:id="79" w:name="_GoBack"/>
      <w:bookmarkEnd w:id="79"/>
      <w:r>
        <w:rPr>
          <w:rFonts w:hint="eastAsia"/>
        </w:rPr>
        <w:t>三、绩效自评结果及分析</w:t>
      </w:r>
      <w:bookmarkEnd w:id="38"/>
      <w:bookmarkEnd w:id="39"/>
    </w:p>
    <w:p>
      <w:pPr>
        <w:pStyle w:val="3"/>
      </w:pPr>
      <w:bookmarkStart w:id="40" w:name="_Toc79333444"/>
      <w:bookmarkStart w:id="41" w:name="_Toc4028"/>
      <w:bookmarkStart w:id="42" w:name="_Toc25356"/>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w:t>
      </w:r>
      <w:r>
        <w:rPr>
          <w:rFonts w:hint="eastAsia"/>
          <w:highlight w:val="none"/>
        </w:rPr>
        <w:t>为</w:t>
      </w:r>
      <w:r>
        <w:rPr>
          <w:rFonts w:hint="eastAsia"/>
          <w:highlight w:val="none"/>
          <w:lang w:val="en-US" w:eastAsia="zh-CN"/>
        </w:rPr>
        <w:t>100</w:t>
      </w:r>
      <w:r>
        <w:rPr>
          <w:rFonts w:hint="eastAsia"/>
          <w:highlight w:val="none"/>
        </w:rPr>
        <w:t>分，评价结果为“</w:t>
      </w:r>
      <w:r>
        <w:rPr>
          <w:rFonts w:hint="eastAsia"/>
          <w:highlight w:val="none"/>
          <w:lang w:eastAsia="zh-CN"/>
        </w:rPr>
        <w:t>优</w:t>
      </w:r>
      <w:r>
        <w:rPr>
          <w:rFonts w:hint="eastAsia"/>
          <w:highlight w:val="none"/>
        </w:rPr>
        <w:t>”。各项指标具体得分情况如下表</w:t>
      </w:r>
      <w:r>
        <w:rPr>
          <w:highlight w:val="none"/>
        </w:rPr>
        <w:t>3</w:t>
      </w:r>
      <w:r>
        <w:rPr>
          <w:rFonts w:hint="eastAsia"/>
          <w:highlight w:val="none"/>
        </w:rPr>
        <w:t>.</w:t>
      </w:r>
      <w:r>
        <w:rPr>
          <w:rFonts w:hint="eastAsia"/>
        </w:rPr>
        <w:t>1所示</w:t>
      </w:r>
    </w:p>
    <w:p>
      <w:pPr>
        <w:pStyle w:val="16"/>
        <w:ind w:firstLine="643"/>
        <w:rPr>
          <w:rFonts w:hint="eastAsia"/>
        </w:rPr>
      </w:pPr>
    </w:p>
    <w:p>
      <w:pPr>
        <w:pStyle w:val="16"/>
        <w:ind w:firstLine="643"/>
      </w:pPr>
      <w:r>
        <w:rPr>
          <w:rFonts w:hint="eastAsia"/>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5"/>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5"/>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5"/>
              <w:rPr>
                <w:rFonts w:hint="default" w:eastAsia="仿宋"/>
                <w:lang w:val="en-US" w:eastAsia="zh-CN"/>
              </w:rPr>
            </w:pPr>
            <w:r>
              <w:rPr>
                <w:rFonts w:hint="eastAsia"/>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lang w:val="en-US" w:eastAsia="zh-CN" w:bidi="ar-SA"/>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5"/>
            </w:pPr>
            <w:r>
              <w:rPr>
                <w:rFonts w:hint="eastAsia"/>
              </w:rPr>
              <w:t>产出指标</w:t>
            </w:r>
          </w:p>
        </w:tc>
        <w:tc>
          <w:tcPr>
            <w:tcW w:w="949" w:type="pct"/>
            <w:tcBorders>
              <w:top w:val="nil"/>
              <w:left w:val="single" w:color="auto" w:sz="4" w:space="0"/>
              <w:right w:val="single" w:color="auto" w:sz="4" w:space="0"/>
            </w:tcBorders>
            <w:shd w:val="clear" w:color="auto" w:fill="auto"/>
            <w:vAlign w:val="center"/>
          </w:tcPr>
          <w:p>
            <w:pPr>
              <w:pStyle w:val="15"/>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通过地面无线形式提供广播、电视节目</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14</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pPr>
          </w:p>
        </w:tc>
        <w:tc>
          <w:tcPr>
            <w:tcW w:w="949" w:type="pct"/>
            <w:tcBorders>
              <w:top w:val="single" w:color="auto" w:sz="4" w:space="0"/>
              <w:left w:val="single" w:color="auto" w:sz="4" w:space="0"/>
              <w:right w:val="single" w:color="auto" w:sz="4" w:space="0"/>
            </w:tcBorders>
            <w:vAlign w:val="center"/>
          </w:tcPr>
          <w:p>
            <w:pPr>
              <w:pStyle w:val="15"/>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节目转播故障时长</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12</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12</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5"/>
            </w:pPr>
          </w:p>
        </w:tc>
        <w:tc>
          <w:tcPr>
            <w:tcW w:w="949" w:type="pct"/>
            <w:tcBorders>
              <w:top w:val="single" w:color="auto" w:sz="4" w:space="0"/>
              <w:left w:val="single" w:color="auto" w:sz="4" w:space="0"/>
              <w:right w:val="single" w:color="auto" w:sz="4" w:space="0"/>
            </w:tcBorders>
            <w:vAlign w:val="center"/>
          </w:tcPr>
          <w:p>
            <w:pPr>
              <w:pStyle w:val="15"/>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项目完成及时率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12</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12</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15"/>
            </w:pPr>
          </w:p>
        </w:tc>
        <w:tc>
          <w:tcPr>
            <w:tcW w:w="949" w:type="pct"/>
            <w:tcBorders>
              <w:top w:val="single" w:color="auto" w:sz="4" w:space="0"/>
              <w:left w:val="single" w:color="auto" w:sz="4" w:space="0"/>
              <w:bottom w:val="single" w:color="auto" w:sz="4" w:space="0"/>
              <w:right w:val="single" w:color="auto" w:sz="4" w:space="0"/>
            </w:tcBorders>
            <w:vAlign w:val="center"/>
          </w:tcPr>
          <w:p>
            <w:pPr>
              <w:pStyle w:val="15"/>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5"/>
              <w:rPr>
                <w:highlight w:val="none"/>
              </w:rPr>
            </w:pPr>
            <w:r>
              <w:rPr>
                <w:rFonts w:hint="eastAsia"/>
                <w:highlight w:val="none"/>
              </w:rPr>
              <w:t>项目总预算</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12</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12</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15"/>
            </w:pPr>
            <w:r>
              <w:rPr>
                <w:rFonts w:hint="eastAsia"/>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pPr>
            <w:r>
              <w:rPr>
                <w:rFonts w:hint="eastAsia"/>
              </w:rPr>
              <w:t>经济效益指标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pP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5"/>
            </w:pPr>
            <w:r>
              <w:rPr>
                <w:rFonts w:hint="eastAsia"/>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numPr>
                <w:ilvl w:val="0"/>
                <w:numId w:val="0"/>
              </w:numPr>
              <w:jc w:val="both"/>
              <w:rPr>
                <w:highlight w:val="none"/>
              </w:rPr>
            </w:pPr>
            <w:r>
              <w:rPr>
                <w:rFonts w:hint="eastAsia"/>
                <w:sz w:val="24"/>
                <w:szCs w:val="24"/>
                <w:highlight w:val="none"/>
              </w:rPr>
              <w:t>广播电视综合人口覆盖率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pPr>
          </w:p>
        </w:tc>
        <w:tc>
          <w:tcPr>
            <w:tcW w:w="949" w:type="pct"/>
            <w:vMerge w:val="continue"/>
            <w:tcBorders>
              <w:left w:val="single" w:color="auto" w:sz="4" w:space="0"/>
              <w:right w:val="single" w:color="auto" w:sz="4" w:space="0"/>
            </w:tcBorders>
            <w:shd w:val="clear" w:color="auto" w:fill="auto"/>
            <w:vAlign w:val="center"/>
          </w:tcPr>
          <w:p>
            <w:pPr>
              <w:pStyle w:val="15"/>
              <w:rPr>
                <w:rFonts w:hint="eastAsia"/>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numPr>
                <w:ilvl w:val="0"/>
                <w:numId w:val="0"/>
              </w:numPr>
              <w:jc w:val="both"/>
              <w:rPr>
                <w:highlight w:val="none"/>
              </w:rPr>
            </w:pPr>
            <w:r>
              <w:rPr>
                <w:rFonts w:hint="eastAsia"/>
                <w:sz w:val="24"/>
                <w:szCs w:val="24"/>
                <w:highlight w:val="none"/>
              </w:rPr>
              <w:t>提供灾害预警应急广播合政务信息发布、政策宣讲服务准确性合及时性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15"/>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pPr>
            <w:r>
              <w:rPr>
                <w:rFonts w:hint="eastAsia"/>
              </w:rPr>
              <w:t>生态效益指标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15"/>
              <w:rPr>
                <w:highlight w:val="none"/>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rPr>
                <w:highlight w:val="none"/>
              </w:rPr>
            </w:pP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ascii="Times New Roman" w:hAnsi="Times New Roman" w:eastAsia="仿宋" w:cstheme="minorBidi"/>
                <w:kern w:val="2"/>
                <w:sz w:val="24"/>
                <w:szCs w:val="24"/>
                <w:highlight w:val="none"/>
                <w:lang w:val="en-US" w:eastAsia="zh-CN" w:bidi="ar-SA"/>
              </w:rPr>
            </w:pPr>
          </w:p>
        </w:tc>
      </w:tr>
      <w:tr>
        <w:tblPrEx>
          <w:tblCellMar>
            <w:top w:w="0" w:type="dxa"/>
            <w:left w:w="108" w:type="dxa"/>
            <w:bottom w:w="0" w:type="dxa"/>
            <w:right w:w="108" w:type="dxa"/>
          </w:tblCellMar>
        </w:tblPrEx>
        <w:trPr>
          <w:trHeight w:val="567" w:hRule="atLeast"/>
          <w:jc w:val="center"/>
        </w:trPr>
        <w:tc>
          <w:tcPr>
            <w:tcW w:w="772" w:type="pct"/>
            <w:vMerge w:val="continue"/>
            <w:tcBorders>
              <w:top w:val="nil"/>
              <w:left w:val="single" w:color="auto" w:sz="4" w:space="0"/>
              <w:bottom w:val="single" w:color="auto" w:sz="4" w:space="0"/>
              <w:right w:val="single" w:color="auto" w:sz="4" w:space="0"/>
            </w:tcBorders>
            <w:vAlign w:val="center"/>
          </w:tcPr>
          <w:p>
            <w:pPr>
              <w:pStyle w:val="15"/>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5"/>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5"/>
              <w:rPr>
                <w:highlight w:val="none"/>
              </w:rPr>
            </w:pPr>
            <w:r>
              <w:rPr>
                <w:rFonts w:hint="eastAsia"/>
                <w:highlight w:val="none"/>
              </w:rPr>
              <w:t>持续促进树立良好的社会风气</w:t>
            </w:r>
          </w:p>
        </w:tc>
        <w:tc>
          <w:tcPr>
            <w:tcW w:w="85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pPr>
            <w:r>
              <w:rPr>
                <w:rFonts w:hint="eastAsia"/>
              </w:rPr>
              <w:t>满意度</w:t>
            </w:r>
          </w:p>
          <w:p>
            <w:pPr>
              <w:pStyle w:val="15"/>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5"/>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ind w:firstLine="0" w:firstLineChars="0"/>
              <w:rPr>
                <w:rFonts w:hint="default"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5"/>
              <w:rPr>
                <w:highlight w:val="none"/>
              </w:rPr>
            </w:pPr>
            <w:r>
              <w:rPr>
                <w:rFonts w:hint="eastAsia"/>
                <w:highlight w:val="none"/>
              </w:rPr>
              <w:t>1</w:t>
            </w:r>
            <w:r>
              <w:rPr>
                <w:highlight w:val="none"/>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5"/>
              <w:rPr>
                <w:rFonts w:hint="default" w:eastAsia="仿宋"/>
                <w:highlight w:val="none"/>
                <w:lang w:val="en-US" w:eastAsia="zh-CN"/>
              </w:rPr>
            </w:pPr>
            <w:r>
              <w:rPr>
                <w:rFonts w:hint="eastAsia"/>
                <w:highlight w:val="none"/>
                <w:lang w:val="en-US" w:eastAsia="zh-CN"/>
              </w:rPr>
              <w:t>100</w:t>
            </w:r>
          </w:p>
        </w:tc>
      </w:tr>
    </w:tbl>
    <w:p>
      <w:pPr>
        <w:pStyle w:val="3"/>
      </w:pPr>
      <w:bookmarkStart w:id="43" w:name="_Toc31442"/>
      <w:bookmarkStart w:id="44" w:name="_Toc24245"/>
      <w:bookmarkStart w:id="45" w:name="_Toc79333445"/>
      <w:r>
        <w:rPr>
          <w:rFonts w:hint="eastAsia"/>
        </w:rPr>
        <w:t>（二）自评指标分析</w:t>
      </w:r>
      <w:bookmarkEnd w:id="43"/>
      <w:bookmarkEnd w:id="44"/>
      <w:bookmarkEnd w:id="45"/>
    </w:p>
    <w:p>
      <w:pPr>
        <w:pStyle w:val="4"/>
        <w:ind w:firstLine="643"/>
      </w:pPr>
      <w:bookmarkStart w:id="46" w:name="_Toc9747"/>
      <w:bookmarkStart w:id="47" w:name="_Toc79333446"/>
      <w:r>
        <w:rPr>
          <w:rFonts w:hint="eastAsia"/>
        </w:rPr>
        <w:t>1、预算执行指标分析</w:t>
      </w:r>
      <w:bookmarkEnd w:id="46"/>
      <w:bookmarkEnd w:id="47"/>
    </w:p>
    <w:p>
      <w:pPr>
        <w:ind w:firstLine="640"/>
        <w:rPr>
          <w:rFonts w:hint="eastAsia" w:ascii="仿宋" w:hAnsi="仿宋" w:eastAsia="仿宋" w:cs="仿宋"/>
          <w:sz w:val="32"/>
          <w:szCs w:val="32"/>
          <w:highlight w:val="none"/>
        </w:rPr>
      </w:pPr>
      <w:r>
        <w:rPr>
          <w:rFonts w:hint="eastAsia"/>
        </w:rPr>
        <w:t>一级指标“预算执行”下设一个二级指标和一个三级指标，均为“预算执行率”，该指标标准分值</w:t>
      </w:r>
      <w:r>
        <w:t>10分</w:t>
      </w:r>
      <w:r>
        <w:rPr>
          <w:rFonts w:hint="eastAsia" w:ascii="仿宋" w:hAnsi="仿宋" w:eastAsia="仿宋" w:cs="仿宋"/>
          <w:sz w:val="32"/>
          <w:szCs w:val="32"/>
          <w:highlight w:val="none"/>
        </w:rPr>
        <w:t>，实际得分</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分。</w:t>
      </w:r>
    </w:p>
    <w:p>
      <w:pPr>
        <w:ind w:firstLine="640"/>
        <w:rPr>
          <w:rFonts w:hint="eastAsia" w:ascii="仿宋" w:hAnsi="仿宋" w:eastAsia="仿宋" w:cs="仿宋"/>
          <w:sz w:val="32"/>
          <w:szCs w:val="32"/>
          <w:highlight w:val="none"/>
        </w:rPr>
      </w:pPr>
      <w:r>
        <w:rPr>
          <w:rFonts w:hint="eastAsia" w:ascii="仿宋" w:hAnsi="仿宋" w:eastAsia="仿宋" w:cs="仿宋"/>
          <w:sz w:val="32"/>
          <w:szCs w:val="32"/>
          <w:highlight w:val="none"/>
        </w:rPr>
        <w:t>项目全年预算资金为</w:t>
      </w:r>
      <w:r>
        <w:rPr>
          <w:rFonts w:hint="eastAsia" w:ascii="仿宋" w:hAnsi="仿宋" w:eastAsia="仿宋" w:cs="仿宋"/>
          <w:i w:val="0"/>
          <w:iCs w:val="0"/>
          <w:caps w:val="0"/>
          <w:color w:val="3D3D3D"/>
          <w:spacing w:val="0"/>
          <w:sz w:val="32"/>
          <w:szCs w:val="32"/>
          <w:highlight w:val="none"/>
          <w:shd w:val="clear" w:color="auto" w:fill="FFFFFF"/>
          <w:lang w:val="en-US" w:eastAsia="zh-CN"/>
        </w:rPr>
        <w:t>11.2</w:t>
      </w:r>
      <w:r>
        <w:rPr>
          <w:rFonts w:hint="eastAsia" w:ascii="仿宋" w:hAnsi="仿宋" w:eastAsia="仿宋" w:cs="仿宋"/>
          <w:sz w:val="32"/>
          <w:szCs w:val="32"/>
          <w:highlight w:val="none"/>
        </w:rPr>
        <w:t>万元，全年执行数为</w:t>
      </w:r>
      <w:r>
        <w:rPr>
          <w:rFonts w:hint="eastAsia" w:ascii="仿宋" w:hAnsi="仿宋" w:eastAsia="仿宋" w:cs="仿宋"/>
          <w:i w:val="0"/>
          <w:iCs w:val="0"/>
          <w:caps w:val="0"/>
          <w:color w:val="3D3D3D"/>
          <w:spacing w:val="0"/>
          <w:sz w:val="32"/>
          <w:szCs w:val="32"/>
          <w:highlight w:val="none"/>
          <w:shd w:val="clear" w:color="auto" w:fill="FFFFFF"/>
          <w:lang w:val="en-US" w:eastAsia="zh-CN"/>
        </w:rPr>
        <w:t>11.2</w:t>
      </w:r>
      <w:r>
        <w:rPr>
          <w:rFonts w:hint="eastAsia" w:ascii="仿宋" w:hAnsi="仿宋" w:eastAsia="仿宋" w:cs="仿宋"/>
          <w:sz w:val="32"/>
          <w:szCs w:val="32"/>
          <w:highlight w:val="none"/>
        </w:rPr>
        <w:t>万元，预算执行率</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%，根据评分标准，预算执行率得分</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rPr>
          <w:highlight w:val="none"/>
        </w:rPr>
      </w:pPr>
      <w:r>
        <w:rPr>
          <w:rFonts w:hint="eastAsia"/>
          <w:highlight w:val="none"/>
        </w:rPr>
        <w:t>（1）数量指标</w:t>
      </w:r>
    </w:p>
    <w:p>
      <w:pPr>
        <w:ind w:firstLine="640"/>
        <w:rPr>
          <w:highlight w:val="none"/>
        </w:rPr>
      </w:pPr>
      <w:r>
        <w:rPr>
          <w:rFonts w:hint="eastAsia"/>
          <w:highlight w:val="none"/>
        </w:rPr>
        <w:t>“数量指标”下设三级指标“通过地面无线形式提供广播、电视节目”。</w:t>
      </w:r>
    </w:p>
    <w:p>
      <w:pPr>
        <w:ind w:firstLine="640"/>
        <w:rPr>
          <w:highlight w:val="none"/>
        </w:rPr>
      </w:pPr>
      <w:r>
        <w:rPr>
          <w:rFonts w:hint="eastAsia" w:ascii="宋体" w:hAnsi="宋体" w:cs="宋体"/>
          <w:i w:val="0"/>
          <w:iCs w:val="0"/>
          <w:caps w:val="0"/>
          <w:color w:val="3D3D3D"/>
          <w:spacing w:val="0"/>
          <w:sz w:val="32"/>
          <w:szCs w:val="32"/>
          <w:highlight w:val="none"/>
          <w:shd w:val="clear" w:color="auto" w:fill="FFFFFF"/>
          <w:lang w:val="en-US" w:eastAsia="zh-CN"/>
        </w:rPr>
        <w:t>数字化改造工程</w:t>
      </w:r>
      <w:r>
        <w:rPr>
          <w:rFonts w:hint="eastAsia"/>
          <w:highlight w:val="none"/>
        </w:rPr>
        <w:t>通过地面无线形式提供广播、电视节目</w:t>
      </w:r>
      <w:r>
        <w:rPr>
          <w:rFonts w:hint="eastAsia"/>
          <w:highlight w:val="none"/>
          <w:lang w:val="en-US" w:eastAsia="zh-CN"/>
        </w:rPr>
        <w:t>20套完成年度指标</w:t>
      </w:r>
      <w:r>
        <w:rPr>
          <w:rFonts w:hint="eastAsia"/>
          <w:highlight w:val="none"/>
        </w:rPr>
        <w:t>，该指标标准分值</w:t>
      </w:r>
      <w:r>
        <w:rPr>
          <w:rFonts w:hint="eastAsia"/>
          <w:highlight w:val="none"/>
          <w:lang w:val="en-US" w:eastAsia="zh-CN"/>
        </w:rPr>
        <w:t>14</w:t>
      </w:r>
      <w:r>
        <w:rPr>
          <w:highlight w:val="none"/>
        </w:rPr>
        <w:t>分，得</w:t>
      </w:r>
      <w:r>
        <w:rPr>
          <w:rFonts w:hint="eastAsia"/>
          <w:highlight w:val="none"/>
          <w:lang w:val="en-US" w:eastAsia="zh-CN"/>
        </w:rPr>
        <w:t>14</w:t>
      </w:r>
      <w:r>
        <w:rPr>
          <w:highlight w:val="none"/>
        </w:rPr>
        <w:t>分</w:t>
      </w:r>
      <w:r>
        <w:rPr>
          <w:rFonts w:hint="eastAsia"/>
          <w:highlight w:val="none"/>
        </w:rPr>
        <w:t>。</w:t>
      </w:r>
    </w:p>
    <w:p>
      <w:pPr>
        <w:ind w:firstLine="640"/>
        <w:rPr>
          <w:highlight w:val="none"/>
        </w:rPr>
      </w:pPr>
      <w:r>
        <w:rPr>
          <w:rFonts w:hint="eastAsia"/>
          <w:highlight w:val="none"/>
        </w:rPr>
        <w:t>综上所述，根据评分标准，数量指标实际得</w:t>
      </w:r>
      <w:r>
        <w:rPr>
          <w:rFonts w:hint="eastAsia"/>
          <w:highlight w:val="none"/>
          <w:lang w:val="en-US" w:eastAsia="zh-CN"/>
        </w:rPr>
        <w:t>14</w:t>
      </w:r>
      <w:r>
        <w:rPr>
          <w:highlight w:val="none"/>
        </w:rPr>
        <w:t>分。</w:t>
      </w:r>
    </w:p>
    <w:p>
      <w:pPr>
        <w:ind w:firstLine="640"/>
        <w:rPr>
          <w:highlight w:val="none"/>
        </w:rPr>
      </w:pPr>
      <w:r>
        <w:rPr>
          <w:rFonts w:hint="eastAsia"/>
          <w:highlight w:val="none"/>
        </w:rPr>
        <w:t>（2）质量指标</w:t>
      </w:r>
    </w:p>
    <w:p>
      <w:pPr>
        <w:ind w:firstLine="640"/>
        <w:rPr>
          <w:highlight w:val="none"/>
        </w:rPr>
      </w:pPr>
      <w:r>
        <w:rPr>
          <w:rFonts w:hint="eastAsia"/>
          <w:highlight w:val="none"/>
        </w:rPr>
        <w:t>“质量指标”下设三级指标“节目转播故障时长”。</w:t>
      </w:r>
    </w:p>
    <w:p>
      <w:pPr>
        <w:ind w:firstLine="640"/>
        <w:rPr>
          <w:highlight w:val="none"/>
        </w:rPr>
      </w:pPr>
      <w:r>
        <w:rPr>
          <w:rFonts w:hint="eastAsia" w:ascii="宋体" w:hAnsi="宋体" w:cs="宋体"/>
          <w:i w:val="0"/>
          <w:iCs w:val="0"/>
          <w:caps w:val="0"/>
          <w:color w:val="3D3D3D"/>
          <w:spacing w:val="0"/>
          <w:sz w:val="32"/>
          <w:szCs w:val="32"/>
          <w:highlight w:val="none"/>
          <w:shd w:val="clear" w:color="auto" w:fill="FFFFFF"/>
          <w:lang w:val="en-US" w:eastAsia="zh-CN"/>
        </w:rPr>
        <w:t>节目转播故障时长全年小于60分钟</w:t>
      </w:r>
      <w:r>
        <w:rPr>
          <w:rFonts w:hint="eastAsia"/>
          <w:highlight w:val="none"/>
        </w:rPr>
        <w:t>，该指标标准分值为</w:t>
      </w:r>
      <w:r>
        <w:rPr>
          <w:highlight w:val="none"/>
        </w:rPr>
        <w:t>1</w:t>
      </w:r>
      <w:r>
        <w:rPr>
          <w:rFonts w:hint="eastAsia"/>
          <w:highlight w:val="none"/>
          <w:lang w:val="en-US" w:eastAsia="zh-CN"/>
        </w:rPr>
        <w:t>2</w:t>
      </w:r>
      <w:r>
        <w:rPr>
          <w:rFonts w:hint="eastAsia"/>
          <w:highlight w:val="none"/>
        </w:rPr>
        <w:t>分，得分为</w:t>
      </w:r>
      <w:r>
        <w:rPr>
          <w:rFonts w:hint="eastAsia"/>
          <w:highlight w:val="none"/>
          <w:lang w:val="en-US" w:eastAsia="zh-CN"/>
        </w:rPr>
        <w:t>12</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12</w:t>
      </w:r>
      <w:r>
        <w:rPr>
          <w:highlight w:val="none"/>
        </w:rPr>
        <w:t>分。</w:t>
      </w:r>
    </w:p>
    <w:p>
      <w:pPr>
        <w:ind w:firstLine="640"/>
        <w:rPr>
          <w:highlight w:val="none"/>
        </w:rPr>
      </w:pPr>
      <w:r>
        <w:rPr>
          <w:rFonts w:hint="eastAsia"/>
          <w:highlight w:val="none"/>
        </w:rPr>
        <w:t>（3）时效指标</w:t>
      </w:r>
    </w:p>
    <w:p>
      <w:pPr>
        <w:ind w:firstLine="640"/>
        <w:rPr>
          <w:highlight w:val="none"/>
        </w:rPr>
      </w:pPr>
      <w:r>
        <w:rPr>
          <w:rFonts w:hint="eastAsia"/>
          <w:highlight w:val="none"/>
        </w:rPr>
        <w:t>“时效指标”下设一个三级指标“项目完成</w:t>
      </w:r>
      <w:r>
        <w:rPr>
          <w:rFonts w:hint="eastAsia"/>
          <w:highlight w:val="none"/>
          <w:lang w:eastAsia="zh-CN"/>
        </w:rPr>
        <w:t>及时率</w:t>
      </w:r>
      <w:r>
        <w:rPr>
          <w:rFonts w:hint="eastAsia"/>
          <w:highlight w:val="none"/>
        </w:rPr>
        <w:t>”。</w:t>
      </w:r>
    </w:p>
    <w:p>
      <w:pPr>
        <w:ind w:firstLine="640"/>
        <w:rPr>
          <w:rFonts w:hint="eastAsia"/>
          <w:highlight w:val="none"/>
        </w:rPr>
      </w:pPr>
      <w:r>
        <w:rPr>
          <w:rFonts w:hint="eastAsia"/>
          <w:highlight w:val="none"/>
        </w:rPr>
        <w:t>根据指标要求，</w:t>
      </w:r>
      <w:r>
        <w:rPr>
          <w:rFonts w:hint="eastAsia" w:ascii="宋体" w:hAnsi="宋体" w:cs="宋体"/>
          <w:i w:val="0"/>
          <w:iCs w:val="0"/>
          <w:caps w:val="0"/>
          <w:color w:val="3D3D3D"/>
          <w:spacing w:val="0"/>
          <w:sz w:val="32"/>
          <w:szCs w:val="32"/>
          <w:highlight w:val="none"/>
          <w:shd w:val="clear" w:color="auto" w:fill="FFFFFF"/>
          <w:lang w:val="en-US" w:eastAsia="zh-CN"/>
        </w:rPr>
        <w:t>2020年中央支持地方公共文化服务体系建设</w:t>
      </w:r>
      <w:r>
        <w:rPr>
          <w:rFonts w:hint="eastAsia"/>
          <w:highlight w:val="none"/>
        </w:rPr>
        <w:t>项目项目完成</w:t>
      </w:r>
      <w:r>
        <w:rPr>
          <w:rFonts w:hint="eastAsia"/>
          <w:highlight w:val="none"/>
          <w:lang w:eastAsia="zh-CN"/>
        </w:rPr>
        <w:t>及时</w:t>
      </w:r>
      <w:r>
        <w:rPr>
          <w:rFonts w:hint="eastAsia"/>
          <w:highlight w:val="none"/>
        </w:rPr>
        <w:t>，</w:t>
      </w:r>
      <w:bookmarkStart w:id="49" w:name="_Hlk79160389"/>
      <w:r>
        <w:rPr>
          <w:rFonts w:hint="eastAsia"/>
          <w:highlight w:val="none"/>
          <w:lang w:eastAsia="zh-CN"/>
        </w:rPr>
        <w:t>符合指标要求，</w:t>
      </w:r>
      <w:r>
        <w:rPr>
          <w:rFonts w:hint="eastAsia"/>
          <w:highlight w:val="none"/>
        </w:rPr>
        <w:t>该指标标准分值为</w:t>
      </w:r>
      <w:r>
        <w:rPr>
          <w:rFonts w:hint="eastAsia"/>
          <w:highlight w:val="none"/>
          <w:lang w:val="en-US" w:eastAsia="zh-CN"/>
        </w:rPr>
        <w:t>12</w:t>
      </w:r>
      <w:r>
        <w:rPr>
          <w:highlight w:val="none"/>
        </w:rPr>
        <w:t>分，得分为</w:t>
      </w:r>
      <w:r>
        <w:rPr>
          <w:rFonts w:hint="eastAsia"/>
          <w:highlight w:val="none"/>
          <w:lang w:val="en-US" w:eastAsia="zh-CN"/>
        </w:rPr>
        <w:t>12</w:t>
      </w:r>
      <w:r>
        <w:rPr>
          <w:highlight w:val="none"/>
        </w:rPr>
        <w:t>分</w:t>
      </w:r>
      <w:r>
        <w:rPr>
          <w:rFonts w:hint="eastAsia"/>
          <w:highlight w:val="none"/>
        </w:rPr>
        <w:t>。</w:t>
      </w:r>
    </w:p>
    <w:p>
      <w:pPr>
        <w:ind w:firstLine="640"/>
        <w:rPr>
          <w:rFonts w:hint="eastAsia"/>
          <w:highlight w:val="none"/>
        </w:rPr>
      </w:pPr>
      <w:r>
        <w:rPr>
          <w:rFonts w:hint="eastAsia"/>
          <w:highlight w:val="none"/>
        </w:rPr>
        <w:t>综上所述，根据评分标准，时效指标实际得</w:t>
      </w:r>
      <w:r>
        <w:rPr>
          <w:rFonts w:hint="eastAsia"/>
          <w:highlight w:val="none"/>
          <w:lang w:val="en-US" w:eastAsia="zh-CN"/>
        </w:rPr>
        <w:t>12</w:t>
      </w:r>
      <w:r>
        <w:rPr>
          <w:highlight w:val="none"/>
        </w:rPr>
        <w:t>分。</w:t>
      </w:r>
    </w:p>
    <w:bookmarkEnd w:id="49"/>
    <w:p>
      <w:pPr>
        <w:ind w:firstLine="640"/>
        <w:rPr>
          <w:highlight w:val="none"/>
        </w:rPr>
      </w:pPr>
      <w:r>
        <w:rPr>
          <w:rFonts w:hint="eastAsia"/>
          <w:highlight w:val="none"/>
        </w:rPr>
        <w:t>（4）成本指标</w:t>
      </w:r>
    </w:p>
    <w:p>
      <w:pPr>
        <w:ind w:firstLine="640"/>
        <w:rPr>
          <w:rFonts w:hint="eastAsia"/>
          <w:highlight w:val="none"/>
        </w:rPr>
      </w:pPr>
      <w:r>
        <w:rPr>
          <w:rFonts w:hint="eastAsia"/>
          <w:highlight w:val="none"/>
        </w:rPr>
        <w:t>2</w:t>
      </w:r>
      <w:r>
        <w:rPr>
          <w:highlight w:val="none"/>
        </w:rPr>
        <w:t>02</w:t>
      </w:r>
      <w:r>
        <w:rPr>
          <w:rFonts w:hint="eastAsia"/>
          <w:highlight w:val="none"/>
          <w:lang w:val="en-US" w:eastAsia="zh-CN"/>
        </w:rPr>
        <w:t>1</w:t>
      </w:r>
      <w:r>
        <w:rPr>
          <w:rFonts w:hint="eastAsia"/>
          <w:highlight w:val="none"/>
        </w:rPr>
        <w:t>年项目财政资金</w:t>
      </w:r>
      <w:r>
        <w:rPr>
          <w:rFonts w:hint="eastAsia"/>
          <w:highlight w:val="none"/>
          <w:lang w:val="en-US" w:eastAsia="zh-CN"/>
        </w:rPr>
        <w:t>11.2</w:t>
      </w:r>
      <w:r>
        <w:rPr>
          <w:rFonts w:hint="eastAsia"/>
          <w:highlight w:val="none"/>
        </w:rPr>
        <w:t>万元，实际支出</w:t>
      </w:r>
      <w:r>
        <w:rPr>
          <w:rFonts w:hint="eastAsia"/>
          <w:highlight w:val="none"/>
          <w:lang w:val="en-US" w:eastAsia="zh-CN"/>
        </w:rPr>
        <w:t>11.2</w:t>
      </w:r>
      <w:r>
        <w:rPr>
          <w:highlight w:val="none"/>
        </w:rPr>
        <w:t>万元</w:t>
      </w:r>
      <w:r>
        <w:rPr>
          <w:rFonts w:hint="eastAsia"/>
          <w:highlight w:val="none"/>
        </w:rPr>
        <w:t>，未超出预算批复金额。因此该项指标标准分值</w:t>
      </w:r>
      <w:r>
        <w:rPr>
          <w:highlight w:val="none"/>
        </w:rPr>
        <w:t>1</w:t>
      </w:r>
      <w:r>
        <w:rPr>
          <w:rFonts w:hint="eastAsia"/>
          <w:highlight w:val="none"/>
          <w:lang w:val="en-US" w:eastAsia="zh-CN"/>
        </w:rPr>
        <w:t>2</w:t>
      </w:r>
      <w:r>
        <w:rPr>
          <w:rFonts w:hint="eastAsia"/>
          <w:highlight w:val="none"/>
        </w:rPr>
        <w:t>分，得</w:t>
      </w:r>
      <w:r>
        <w:rPr>
          <w:highlight w:val="none"/>
        </w:rPr>
        <w:t>1</w:t>
      </w:r>
      <w:r>
        <w:rPr>
          <w:rFonts w:hint="eastAsia"/>
          <w:highlight w:val="none"/>
          <w:lang w:val="en-US" w:eastAsia="zh-CN"/>
        </w:rPr>
        <w:t>2</w:t>
      </w:r>
      <w:r>
        <w:rPr>
          <w:rFonts w:hint="eastAsia"/>
          <w:highlight w:val="none"/>
        </w:rPr>
        <w:t>分。</w:t>
      </w:r>
    </w:p>
    <w:p>
      <w:pPr>
        <w:ind w:firstLine="640"/>
        <w:rPr>
          <w:rFonts w:hint="eastAsia"/>
          <w:highlight w:val="none"/>
        </w:rPr>
      </w:pPr>
      <w:r>
        <w:rPr>
          <w:rFonts w:hint="eastAsia"/>
          <w:highlight w:val="none"/>
        </w:rPr>
        <w:t>综上所述，根据评分标准，成本指标实际得</w:t>
      </w:r>
      <w:r>
        <w:rPr>
          <w:rFonts w:hint="eastAsia"/>
          <w:highlight w:val="none"/>
          <w:lang w:val="en-US" w:eastAsia="zh-CN"/>
        </w:rPr>
        <w:t>12</w:t>
      </w:r>
      <w:r>
        <w:rPr>
          <w:highlight w:val="none"/>
        </w:rPr>
        <w:t>分。</w:t>
      </w:r>
    </w:p>
    <w:p>
      <w:pPr>
        <w:pStyle w:val="4"/>
        <w:ind w:firstLine="643"/>
        <w:rPr>
          <w:highlight w:val="none"/>
        </w:rPr>
      </w:pPr>
      <w:bookmarkStart w:id="50" w:name="_Toc79333448"/>
      <w:r>
        <w:rPr>
          <w:highlight w:val="none"/>
        </w:rPr>
        <w:t>3、效益指标分析</w:t>
      </w:r>
      <w:bookmarkEnd w:id="50"/>
    </w:p>
    <w:p>
      <w:pPr>
        <w:ind w:firstLine="640"/>
        <w:rPr>
          <w:highlight w:val="none"/>
        </w:rPr>
      </w:pPr>
      <w:r>
        <w:rPr>
          <w:rFonts w:hint="eastAsia"/>
          <w:highlight w:val="none"/>
        </w:rPr>
        <w:t>“效益指标”下设二个二级指标，分别为“社会效益”、“可持续影响”。</w:t>
      </w:r>
    </w:p>
    <w:p>
      <w:pPr>
        <w:ind w:firstLine="640"/>
        <w:rPr>
          <w:highlight w:val="none"/>
        </w:rPr>
      </w:pPr>
      <w:r>
        <w:rPr>
          <w:rFonts w:hint="eastAsia"/>
          <w:highlight w:val="none"/>
        </w:rPr>
        <w:t>（</w:t>
      </w:r>
      <w:r>
        <w:rPr>
          <w:highlight w:val="none"/>
        </w:rPr>
        <w:t>1</w:t>
      </w:r>
      <w:r>
        <w:rPr>
          <w:rFonts w:hint="eastAsia"/>
          <w:highlight w:val="none"/>
        </w:rPr>
        <w:t>）社会效益</w:t>
      </w:r>
    </w:p>
    <w:p>
      <w:pPr>
        <w:ind w:firstLine="640"/>
        <w:rPr>
          <w:highlight w:val="none"/>
        </w:rPr>
      </w:pPr>
      <w:r>
        <w:rPr>
          <w:rFonts w:hint="eastAsia"/>
          <w:highlight w:val="none"/>
        </w:rPr>
        <w:t>“社会效益”下设</w:t>
      </w:r>
      <w:r>
        <w:rPr>
          <w:rFonts w:hint="eastAsia"/>
          <w:highlight w:val="none"/>
          <w:lang w:eastAsia="zh-CN"/>
        </w:rPr>
        <w:t>二个</w:t>
      </w:r>
      <w:r>
        <w:rPr>
          <w:rFonts w:hint="eastAsia"/>
          <w:highlight w:val="none"/>
        </w:rPr>
        <w:t>三级指标“广播电视综合人口覆盖率”</w:t>
      </w:r>
      <w:r>
        <w:rPr>
          <w:rFonts w:hint="eastAsia"/>
          <w:highlight w:val="none"/>
          <w:lang w:eastAsia="zh-CN"/>
        </w:rPr>
        <w:t>、“</w:t>
      </w:r>
      <w:r>
        <w:rPr>
          <w:rFonts w:hint="eastAsia"/>
          <w:highlight w:val="none"/>
        </w:rPr>
        <w:t>提供灾害预警应急广播合政务信息发布、政策宣讲服务准确性合及时性</w:t>
      </w:r>
      <w:r>
        <w:rPr>
          <w:rFonts w:hint="eastAsia"/>
          <w:highlight w:val="none"/>
          <w:lang w:eastAsia="zh-CN"/>
        </w:rPr>
        <w:t>”</w:t>
      </w:r>
      <w:r>
        <w:rPr>
          <w:rFonts w:hint="eastAsia"/>
          <w:highlight w:val="none"/>
        </w:rPr>
        <w:t>。</w:t>
      </w:r>
    </w:p>
    <w:p>
      <w:pPr>
        <w:ind w:firstLine="640"/>
        <w:rPr>
          <w:rFonts w:hint="eastAsia"/>
          <w:highlight w:val="none"/>
        </w:rPr>
      </w:pPr>
      <w:r>
        <w:rPr>
          <w:rFonts w:hint="eastAsia"/>
          <w:highlight w:val="none"/>
        </w:rPr>
        <w:t>根据指标要求，广播电视综合人口覆盖率</w:t>
      </w:r>
      <w:r>
        <w:rPr>
          <w:rFonts w:hint="eastAsia"/>
          <w:highlight w:val="none"/>
          <w:lang w:eastAsia="zh-CN"/>
        </w:rPr>
        <w:t>达到</w:t>
      </w:r>
      <w:r>
        <w:rPr>
          <w:rFonts w:hint="eastAsia"/>
          <w:highlight w:val="none"/>
          <w:lang w:val="en-US" w:eastAsia="zh-CN"/>
        </w:rPr>
        <w:t>98%</w:t>
      </w:r>
      <w:r>
        <w:rPr>
          <w:rFonts w:hint="eastAsia"/>
          <w:highlight w:val="none"/>
          <w:lang w:eastAsia="zh-CN"/>
        </w:rPr>
        <w:t>，达到预定指标，</w:t>
      </w:r>
      <w:r>
        <w:rPr>
          <w:rFonts w:hint="eastAsia"/>
          <w:highlight w:val="none"/>
        </w:rPr>
        <w:t>该指标标准分值为</w:t>
      </w:r>
      <w:r>
        <w:rPr>
          <w:rFonts w:hint="eastAsia"/>
          <w:highlight w:val="none"/>
          <w:lang w:val="en-US" w:eastAsia="zh-CN"/>
        </w:rPr>
        <w:t>7</w:t>
      </w:r>
      <w:r>
        <w:rPr>
          <w:rFonts w:hint="eastAsia"/>
          <w:highlight w:val="none"/>
        </w:rPr>
        <w:t>分，得分为</w:t>
      </w:r>
      <w:r>
        <w:rPr>
          <w:rFonts w:hint="eastAsia"/>
          <w:highlight w:val="none"/>
          <w:lang w:val="en-US" w:eastAsia="zh-CN"/>
        </w:rPr>
        <w:t>7</w:t>
      </w:r>
      <w:r>
        <w:rPr>
          <w:rFonts w:hint="eastAsia"/>
          <w:highlight w:val="none"/>
        </w:rPr>
        <w:t>分。提供灾害预警应急广播合政务信息发布、政策宣讲服务准确性合及时性</w:t>
      </w:r>
      <w:r>
        <w:rPr>
          <w:rFonts w:hint="eastAsia"/>
          <w:highlight w:val="none"/>
          <w:lang w:eastAsia="zh-CN"/>
        </w:rPr>
        <w:t>比上年提高，达到预期指标，</w:t>
      </w:r>
      <w:r>
        <w:rPr>
          <w:rFonts w:hint="eastAsia"/>
          <w:highlight w:val="none"/>
        </w:rPr>
        <w:t>该指标标准分值为</w:t>
      </w:r>
      <w:r>
        <w:rPr>
          <w:rFonts w:hint="eastAsia"/>
          <w:highlight w:val="none"/>
          <w:lang w:val="en-US" w:eastAsia="zh-CN"/>
        </w:rPr>
        <w:t>8</w:t>
      </w:r>
      <w:r>
        <w:rPr>
          <w:rFonts w:hint="eastAsia"/>
          <w:highlight w:val="none"/>
        </w:rPr>
        <w:t>分，得分为</w:t>
      </w:r>
      <w:r>
        <w:rPr>
          <w:rFonts w:hint="eastAsia"/>
          <w:highlight w:val="none"/>
          <w:lang w:val="en-US" w:eastAsia="zh-CN"/>
        </w:rPr>
        <w:t>8</w:t>
      </w:r>
      <w:r>
        <w:rPr>
          <w:rFonts w:hint="eastAsia"/>
          <w:highlight w:val="none"/>
        </w:rPr>
        <w:t>分。达到加强引导群众、服务群众</w:t>
      </w:r>
      <w:r>
        <w:rPr>
          <w:rFonts w:hint="eastAsia"/>
          <w:highlight w:val="none"/>
          <w:lang w:eastAsia="zh-CN"/>
        </w:rPr>
        <w:t>的预期指标，</w:t>
      </w:r>
      <w:r>
        <w:rPr>
          <w:rFonts w:hint="eastAsia"/>
          <w:highlight w:val="none"/>
        </w:rPr>
        <w:t>该指标标准分值为</w:t>
      </w:r>
      <w:r>
        <w:rPr>
          <w:rFonts w:hint="eastAsia"/>
          <w:highlight w:val="none"/>
          <w:lang w:val="en-US" w:eastAsia="zh-CN"/>
        </w:rPr>
        <w:t>15</w:t>
      </w:r>
      <w:r>
        <w:rPr>
          <w:rFonts w:hint="eastAsia"/>
          <w:highlight w:val="none"/>
        </w:rPr>
        <w:t>分，得分为</w:t>
      </w:r>
      <w:r>
        <w:rPr>
          <w:rFonts w:hint="eastAsia"/>
          <w:highlight w:val="none"/>
          <w:lang w:val="en-US" w:eastAsia="zh-CN"/>
        </w:rPr>
        <w:t>15</w:t>
      </w:r>
      <w:r>
        <w:rPr>
          <w:rFonts w:hint="eastAsia"/>
          <w:highlight w:val="none"/>
        </w:rPr>
        <w:t>分。</w:t>
      </w:r>
    </w:p>
    <w:p>
      <w:pPr>
        <w:ind w:firstLine="640"/>
        <w:rPr>
          <w:highlight w:val="none"/>
        </w:rPr>
      </w:pPr>
      <w:r>
        <w:rPr>
          <w:rFonts w:hint="eastAsia"/>
          <w:highlight w:val="none"/>
        </w:rPr>
        <w:t>综上所述，根据评分标准，质量指标实际得</w:t>
      </w:r>
      <w:r>
        <w:rPr>
          <w:rFonts w:hint="eastAsia"/>
          <w:highlight w:val="none"/>
          <w:lang w:val="en-US" w:eastAsia="zh-CN"/>
        </w:rPr>
        <w:t>15</w:t>
      </w:r>
      <w:r>
        <w:rPr>
          <w:highlight w:val="none"/>
        </w:rPr>
        <w:t>分。</w:t>
      </w:r>
    </w:p>
    <w:p>
      <w:pPr>
        <w:ind w:firstLine="640"/>
        <w:rPr>
          <w:highlight w:val="none"/>
        </w:rPr>
      </w:pPr>
      <w:r>
        <w:rPr>
          <w:rFonts w:hint="eastAsia"/>
          <w:highlight w:val="none"/>
        </w:rPr>
        <w:t>（</w:t>
      </w:r>
      <w:r>
        <w:rPr>
          <w:highlight w:val="none"/>
        </w:rPr>
        <w:t>2</w:t>
      </w:r>
      <w:r>
        <w:rPr>
          <w:rFonts w:hint="eastAsia"/>
          <w:highlight w:val="none"/>
        </w:rPr>
        <w:t>）可持续影响</w:t>
      </w:r>
    </w:p>
    <w:p>
      <w:pPr>
        <w:ind w:firstLine="640"/>
        <w:rPr>
          <w:highlight w:val="none"/>
        </w:rPr>
      </w:pPr>
      <w:r>
        <w:rPr>
          <w:rFonts w:hint="eastAsia"/>
          <w:highlight w:val="none"/>
        </w:rPr>
        <w:t>“可持续影响”下设三级指标“对树立良好的社会风气具有积极作用”。</w:t>
      </w:r>
    </w:p>
    <w:p>
      <w:pPr>
        <w:ind w:firstLine="640"/>
        <w:rPr>
          <w:rFonts w:hint="eastAsia"/>
          <w:highlight w:val="none"/>
        </w:rPr>
      </w:pPr>
      <w:r>
        <w:rPr>
          <w:rFonts w:hint="eastAsia" w:ascii="宋体" w:hAnsi="宋体" w:cs="宋体"/>
          <w:i w:val="0"/>
          <w:iCs w:val="0"/>
          <w:caps w:val="0"/>
          <w:color w:val="3D3D3D"/>
          <w:spacing w:val="0"/>
          <w:sz w:val="32"/>
          <w:szCs w:val="32"/>
          <w:highlight w:val="none"/>
          <w:shd w:val="clear" w:color="auto" w:fill="FFFFFF"/>
          <w:lang w:val="en-US" w:eastAsia="zh-CN"/>
        </w:rPr>
        <w:t>数字化改造工程已经</w:t>
      </w:r>
      <w:r>
        <w:rPr>
          <w:rFonts w:hint="eastAsia"/>
          <w:highlight w:val="none"/>
        </w:rPr>
        <w:t>完工，可使用年限不确定，具有可持续影响效益，该指标标准分值为</w:t>
      </w:r>
      <w:r>
        <w:rPr>
          <w:rFonts w:hint="eastAsia"/>
          <w:highlight w:val="none"/>
          <w:lang w:val="en-US" w:eastAsia="zh-CN"/>
        </w:rPr>
        <w:t>9</w:t>
      </w:r>
      <w:r>
        <w:rPr>
          <w:rFonts w:hint="eastAsia"/>
          <w:highlight w:val="none"/>
        </w:rPr>
        <w:t>分，实际综合得分为</w:t>
      </w:r>
      <w:r>
        <w:rPr>
          <w:rFonts w:hint="eastAsia"/>
          <w:highlight w:val="none"/>
          <w:lang w:val="en-US" w:eastAsia="zh-CN"/>
        </w:rPr>
        <w:t>9</w:t>
      </w:r>
      <w:r>
        <w:rPr>
          <w:rFonts w:hint="eastAsia"/>
          <w:highlight w:val="none"/>
        </w:rPr>
        <w:t>分。</w:t>
      </w:r>
    </w:p>
    <w:p>
      <w:pPr>
        <w:ind w:firstLine="640"/>
        <w:rPr>
          <w:rFonts w:hint="eastAsia"/>
          <w:highlight w:val="none"/>
        </w:rPr>
      </w:pPr>
      <w:r>
        <w:rPr>
          <w:rFonts w:hint="eastAsia"/>
          <w:highlight w:val="none"/>
        </w:rPr>
        <w:t>综上所述，根据评分标准，可持续影响指标实际得</w:t>
      </w:r>
      <w:r>
        <w:rPr>
          <w:rFonts w:hint="eastAsia"/>
          <w:highlight w:val="none"/>
          <w:lang w:val="en-US" w:eastAsia="zh-CN"/>
        </w:rPr>
        <w:t>21</w:t>
      </w:r>
      <w:r>
        <w:rPr>
          <w:highlight w:val="none"/>
        </w:rPr>
        <w:t>分。</w:t>
      </w:r>
    </w:p>
    <w:p>
      <w:pPr>
        <w:pStyle w:val="4"/>
        <w:ind w:firstLine="643"/>
        <w:rPr>
          <w:highlight w:val="none"/>
        </w:rPr>
      </w:pPr>
      <w:bookmarkStart w:id="51" w:name="_Toc79333449"/>
      <w:r>
        <w:rPr>
          <w:highlight w:val="none"/>
        </w:rPr>
        <w:t>4、满意度指标分析</w:t>
      </w:r>
      <w:bookmarkEnd w:id="51"/>
    </w:p>
    <w:p>
      <w:pPr>
        <w:ind w:firstLine="640"/>
        <w:rPr>
          <w:highlight w:val="none"/>
        </w:rPr>
      </w:pPr>
      <w:r>
        <w:rPr>
          <w:rFonts w:hint="eastAsia"/>
          <w:highlight w:val="none"/>
        </w:rPr>
        <w:t>本项目调查</w:t>
      </w:r>
      <w:r>
        <w:rPr>
          <w:rFonts w:hint="eastAsia"/>
          <w:highlight w:val="none"/>
          <w:lang w:eastAsia="zh-CN"/>
        </w:rPr>
        <w:t>全县</w:t>
      </w:r>
      <w:r>
        <w:rPr>
          <w:rFonts w:hint="eastAsia"/>
          <w:highlight w:val="none"/>
        </w:rPr>
        <w:t>受益人群</w:t>
      </w:r>
      <w:r>
        <w:rPr>
          <w:rFonts w:hint="eastAsia"/>
          <w:highlight w:val="none"/>
          <w:lang w:val="en-US" w:eastAsia="zh-CN"/>
        </w:rPr>
        <w:t>1150</w:t>
      </w:r>
      <w:r>
        <w:rPr>
          <w:rFonts w:hint="eastAsia"/>
          <w:highlight w:val="none"/>
        </w:rPr>
        <w:t>人，发放调查问卷</w:t>
      </w:r>
      <w:r>
        <w:rPr>
          <w:rFonts w:hint="eastAsia"/>
          <w:highlight w:val="none"/>
          <w:lang w:val="en-US" w:eastAsia="zh-CN"/>
        </w:rPr>
        <w:t>1150</w:t>
      </w:r>
      <w:r>
        <w:rPr>
          <w:rFonts w:hint="eastAsia"/>
          <w:highlight w:val="none"/>
        </w:rPr>
        <w:t>份，回收</w:t>
      </w:r>
      <w:r>
        <w:rPr>
          <w:rFonts w:hint="eastAsia"/>
          <w:highlight w:val="none"/>
          <w:lang w:val="en-US" w:eastAsia="zh-CN"/>
        </w:rPr>
        <w:t>1120</w:t>
      </w:r>
      <w:r>
        <w:rPr>
          <w:rFonts w:hint="eastAsia"/>
          <w:highlight w:val="none"/>
        </w:rPr>
        <w:t>份，其中有效问卷</w:t>
      </w:r>
      <w:r>
        <w:rPr>
          <w:rFonts w:hint="eastAsia"/>
          <w:highlight w:val="none"/>
          <w:lang w:val="en-US" w:eastAsia="zh-CN"/>
        </w:rPr>
        <w:t>1118</w:t>
      </w:r>
      <w:r>
        <w:rPr>
          <w:rFonts w:hint="eastAsia"/>
          <w:highlight w:val="none"/>
        </w:rPr>
        <w:t>份。其中非常满意人数</w:t>
      </w:r>
      <w:r>
        <w:rPr>
          <w:rFonts w:hint="eastAsia"/>
          <w:highlight w:val="none"/>
          <w:lang w:val="en-US" w:eastAsia="zh-CN"/>
        </w:rPr>
        <w:t>202</w:t>
      </w:r>
      <w:r>
        <w:rPr>
          <w:rFonts w:hint="eastAsia"/>
          <w:highlight w:val="none"/>
        </w:rPr>
        <w:t>人，满意</w:t>
      </w:r>
      <w:r>
        <w:rPr>
          <w:rFonts w:hint="eastAsia"/>
          <w:highlight w:val="none"/>
          <w:lang w:val="en-US" w:eastAsia="zh-CN"/>
        </w:rPr>
        <w:t>771</w:t>
      </w:r>
      <w:r>
        <w:rPr>
          <w:rFonts w:hint="eastAsia"/>
          <w:highlight w:val="none"/>
        </w:rPr>
        <w:t>人，不满意</w:t>
      </w:r>
      <w:r>
        <w:rPr>
          <w:rFonts w:hint="eastAsia"/>
          <w:highlight w:val="none"/>
          <w:lang w:val="en-US" w:eastAsia="zh-CN"/>
        </w:rPr>
        <w:t>145</w:t>
      </w:r>
      <w:r>
        <w:rPr>
          <w:rFonts w:hint="eastAsia"/>
          <w:highlight w:val="none"/>
        </w:rPr>
        <w:t>人，综合满意度为</w:t>
      </w:r>
      <w:r>
        <w:rPr>
          <w:rFonts w:hint="eastAsia"/>
          <w:highlight w:val="none"/>
          <w:lang w:val="en-US" w:eastAsia="zh-CN"/>
        </w:rPr>
        <w:t>87</w:t>
      </w:r>
      <w:r>
        <w:rPr>
          <w:rFonts w:hint="eastAsia"/>
          <w:highlight w:val="none"/>
        </w:rPr>
        <w:t>%，根据评分标准，该项指标标准分值10分，得分为</w:t>
      </w:r>
      <w:r>
        <w:rPr>
          <w:rFonts w:hint="eastAsia"/>
          <w:highlight w:val="none"/>
          <w:lang w:val="en-US" w:eastAsia="zh-CN"/>
        </w:rPr>
        <w:t>1</w:t>
      </w:r>
      <w:r>
        <w:rPr>
          <w:rFonts w:hint="eastAsia"/>
          <w:highlight w:val="none"/>
        </w:rPr>
        <w:t>0分</w:t>
      </w:r>
    </w:p>
    <w:p>
      <w:pPr>
        <w:pStyle w:val="2"/>
        <w:rPr>
          <w:highlight w:val="none"/>
        </w:rPr>
      </w:pPr>
      <w:bookmarkStart w:id="52" w:name="_Toc29830"/>
      <w:bookmarkStart w:id="53" w:name="_Toc1809"/>
      <w:bookmarkStart w:id="54" w:name="_Toc79333450"/>
      <w:r>
        <w:rPr>
          <w:rFonts w:hint="eastAsia"/>
          <w:highlight w:val="none"/>
        </w:rPr>
        <w:t>四、成果和问题</w:t>
      </w:r>
      <w:bookmarkEnd w:id="52"/>
      <w:bookmarkEnd w:id="53"/>
      <w:bookmarkEnd w:id="54"/>
    </w:p>
    <w:p>
      <w:pPr>
        <w:pStyle w:val="3"/>
        <w:rPr>
          <w:highlight w:val="none"/>
        </w:rPr>
      </w:pPr>
      <w:bookmarkStart w:id="55" w:name="_Toc79333451"/>
      <w:bookmarkStart w:id="56" w:name="_Toc30565"/>
      <w:r>
        <w:rPr>
          <w:rFonts w:hint="eastAsia"/>
          <w:highlight w:val="none"/>
        </w:rPr>
        <w:t>（一）项目实施的成果</w:t>
      </w:r>
      <w:bookmarkEnd w:id="55"/>
      <w:bookmarkEnd w:id="56"/>
    </w:p>
    <w:p>
      <w:pPr>
        <w:ind w:firstLine="640"/>
        <w:rPr>
          <w:highlight w:val="none"/>
        </w:rPr>
      </w:pPr>
      <w:r>
        <w:rPr>
          <w:rFonts w:hint="eastAsia"/>
          <w:highlight w:val="none"/>
        </w:rPr>
        <w:t>一是项目产出质量安全事故发生次数达标，</w:t>
      </w:r>
      <w:r>
        <w:rPr>
          <w:rFonts w:hint="eastAsia"/>
          <w:highlight w:val="none"/>
          <w:lang w:eastAsia="zh-CN"/>
        </w:rPr>
        <w:t>项目进行</w:t>
      </w:r>
      <w:r>
        <w:rPr>
          <w:rFonts w:hint="eastAsia"/>
          <w:highlight w:val="none"/>
        </w:rPr>
        <w:t>过程安全有效，保持零事故率。</w:t>
      </w:r>
    </w:p>
    <w:p>
      <w:pPr>
        <w:ind w:firstLine="640"/>
        <w:rPr>
          <w:highlight w:val="none"/>
        </w:rPr>
      </w:pPr>
      <w:r>
        <w:rPr>
          <w:rFonts w:hint="eastAsia"/>
          <w:highlight w:val="none"/>
        </w:rPr>
        <w:t>二是项目部管理工作到位，基本上未出现工作失误，各方满意度较高。</w:t>
      </w:r>
    </w:p>
    <w:p>
      <w:pPr>
        <w:pStyle w:val="3"/>
        <w:rPr>
          <w:b/>
          <w:highlight w:val="none"/>
        </w:rPr>
      </w:pPr>
      <w:bookmarkStart w:id="57" w:name="_Toc30691"/>
      <w:bookmarkStart w:id="58" w:name="_Toc79333452"/>
      <w:r>
        <w:rPr>
          <w:rFonts w:hint="eastAsia"/>
          <w:highlight w:val="none"/>
        </w:rPr>
        <w:t>（二）项目存在的问题</w:t>
      </w:r>
      <w:bookmarkEnd w:id="57"/>
      <w:bookmarkEnd w:id="58"/>
    </w:p>
    <w:p>
      <w:pPr>
        <w:ind w:firstLine="643"/>
        <w:rPr>
          <w:b/>
          <w:highlight w:val="none"/>
        </w:rPr>
      </w:pPr>
      <w:r>
        <w:rPr>
          <w:rFonts w:hint="eastAsia"/>
          <w:b/>
          <w:highlight w:val="none"/>
        </w:rPr>
        <w:t>1、前期绩效管理意识薄弱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ind w:firstLine="643"/>
        <w:rPr>
          <w:b/>
          <w:highlight w:val="none"/>
        </w:rPr>
      </w:pPr>
      <w:r>
        <w:rPr>
          <w:rFonts w:hint="eastAsia"/>
          <w:b/>
          <w:highlight w:val="none"/>
        </w:rPr>
        <w:t>2、绩效管理水平有待进一步提高</w:t>
      </w:r>
    </w:p>
    <w:p>
      <w:pPr>
        <w:ind w:firstLine="640"/>
        <w:rPr>
          <w:highlight w:val="none"/>
        </w:rPr>
      </w:pPr>
      <w:r>
        <w:rPr>
          <w:rFonts w:hint="eastAsia"/>
          <w:highlight w:val="none"/>
        </w:rPr>
        <w:t>我单位在进行绩效自评工作时，发现个别绩效指标设置不够合理，细化量化程度不足，自评结果不够准确。</w:t>
      </w:r>
    </w:p>
    <w:p>
      <w:pPr>
        <w:pStyle w:val="2"/>
        <w:rPr>
          <w:highlight w:val="none"/>
        </w:rPr>
      </w:pPr>
      <w:bookmarkStart w:id="59" w:name="_Toc6382"/>
      <w:bookmarkStart w:id="60" w:name="_Toc27227"/>
      <w:bookmarkStart w:id="61" w:name="_Toc79333453"/>
      <w:r>
        <w:rPr>
          <w:rFonts w:hint="eastAsia"/>
          <w:highlight w:val="none"/>
        </w:rPr>
        <w:t>五、建议</w:t>
      </w:r>
      <w:bookmarkEnd w:id="59"/>
      <w:bookmarkEnd w:id="60"/>
      <w:bookmarkEnd w:id="61"/>
    </w:p>
    <w:p>
      <w:pPr>
        <w:pStyle w:val="3"/>
        <w:rPr>
          <w:highlight w:val="none"/>
        </w:rPr>
      </w:pPr>
      <w:bookmarkStart w:id="62" w:name="_Toc18797"/>
      <w:bookmarkStart w:id="63" w:name="_Toc79333454"/>
      <w:r>
        <w:rPr>
          <w:rFonts w:hint="eastAsia"/>
          <w:highlight w:val="none"/>
        </w:rPr>
        <w:t>（一）强化预算绩效管理意识，提升项目产出效益</w:t>
      </w:r>
      <w:bookmarkEnd w:id="62"/>
      <w:bookmarkEnd w:id="63"/>
    </w:p>
    <w:p>
      <w:pPr>
        <w:ind w:firstLine="64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3"/>
        <w:rPr>
          <w:highlight w:val="none"/>
        </w:rPr>
      </w:pPr>
      <w:bookmarkStart w:id="64" w:name="_Toc19326"/>
      <w:bookmarkStart w:id="65" w:name="_Toc79333455"/>
      <w:r>
        <w:rPr>
          <w:rFonts w:hint="eastAsia"/>
          <w:highlight w:val="none"/>
        </w:rPr>
        <w:t>（二）加强学习培训，进一步提高绩效管理水平</w:t>
      </w:r>
      <w:bookmarkEnd w:id="64"/>
      <w:bookmarkEnd w:id="65"/>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ind w:firstLine="640"/>
        <w:rPr>
          <w:highlight w:val="none"/>
        </w:rPr>
      </w:pPr>
    </w:p>
    <w:p>
      <w:pPr>
        <w:pStyle w:val="2"/>
        <w:rPr>
          <w:highlight w:val="none"/>
        </w:rPr>
      </w:pPr>
      <w:bookmarkStart w:id="66" w:name="_Toc665"/>
      <w:bookmarkStart w:id="67" w:name="_Toc79333457"/>
      <w:bookmarkStart w:id="68" w:name="_Toc6061"/>
      <w:r>
        <w:rPr>
          <w:rFonts w:hint="eastAsia"/>
          <w:highlight w:val="none"/>
        </w:rPr>
        <w:t>六、其他需要说明的问题</w:t>
      </w:r>
      <w:bookmarkEnd w:id="66"/>
      <w:bookmarkEnd w:id="67"/>
      <w:bookmarkEnd w:id="68"/>
    </w:p>
    <w:p>
      <w:pPr>
        <w:ind w:firstLine="640"/>
        <w:rPr>
          <w:highlight w:val="none"/>
        </w:rPr>
      </w:pPr>
      <w:r>
        <w:rPr>
          <w:rFonts w:hint="eastAsia"/>
          <w:highlight w:val="none"/>
        </w:rPr>
        <w:t>无</w:t>
      </w:r>
    </w:p>
    <w:p>
      <w:pPr>
        <w:pStyle w:val="2"/>
        <w:rPr>
          <w:highlight w:val="none"/>
        </w:rPr>
      </w:pPr>
      <w:bookmarkStart w:id="69" w:name="_Toc3394"/>
      <w:bookmarkStart w:id="70" w:name="_Toc62030119"/>
      <w:bookmarkStart w:id="71" w:name="_Toc61882435"/>
      <w:bookmarkStart w:id="72" w:name="_Toc75871379"/>
      <w:bookmarkStart w:id="73" w:name="_Toc79333458"/>
      <w:r>
        <w:rPr>
          <w:rFonts w:hint="eastAsia"/>
          <w:highlight w:val="none"/>
        </w:rPr>
        <w:t>七、附件</w:t>
      </w:r>
      <w:bookmarkEnd w:id="69"/>
      <w:bookmarkEnd w:id="70"/>
      <w:bookmarkEnd w:id="71"/>
      <w:bookmarkEnd w:id="72"/>
      <w:bookmarkEnd w:id="73"/>
    </w:p>
    <w:p>
      <w:pPr>
        <w:ind w:firstLine="640"/>
        <w:rPr>
          <w:highlight w:val="none"/>
        </w:rPr>
      </w:pPr>
      <w:r>
        <w:rPr>
          <w:rFonts w:hint="eastAsia"/>
          <w:highlight w:val="none"/>
        </w:rPr>
        <w:t>附件一：项目绩效自评表</w:t>
      </w:r>
    </w:p>
    <w:p>
      <w:pPr>
        <w:ind w:firstLine="640"/>
        <w:rPr>
          <w:highlight w:val="none"/>
        </w:rPr>
      </w:pPr>
    </w:p>
    <w:p>
      <w:pPr>
        <w:ind w:firstLine="640"/>
        <w:rPr>
          <w:highlight w:val="none"/>
        </w:rPr>
        <w:sectPr>
          <w:footerReference r:id="rId6" w:type="default"/>
          <w:pgSz w:w="11906" w:h="16838"/>
          <w:pgMar w:top="1440" w:right="1800" w:bottom="1440" w:left="1800" w:header="851" w:footer="737" w:gutter="0"/>
          <w:pgNumType w:fmt="decimal" w:start="1"/>
          <w:cols w:space="0" w:num="1"/>
          <w:docGrid w:linePitch="312" w:charSpace="0"/>
        </w:sectPr>
      </w:pPr>
    </w:p>
    <w:p>
      <w:pPr>
        <w:pStyle w:val="3"/>
      </w:pPr>
      <w:bookmarkStart w:id="74" w:name="_Toc62030120"/>
      <w:bookmarkStart w:id="75" w:name="_Toc61882642"/>
      <w:bookmarkStart w:id="76" w:name="_Toc8706"/>
      <w:bookmarkStart w:id="77" w:name="_Toc79333459"/>
      <w:bookmarkStart w:id="78" w:name="_Toc75871380"/>
      <w:r>
        <w:rPr>
          <w:rFonts w:hint="eastAsia"/>
        </w:rPr>
        <w:t>附件一：项目绩效自评表</w:t>
      </w:r>
      <w:bookmarkEnd w:id="74"/>
      <w:bookmarkEnd w:id="75"/>
      <w:bookmarkEnd w:id="76"/>
      <w:bookmarkEnd w:id="77"/>
      <w:bookmarkEnd w:id="78"/>
    </w:p>
    <w:p>
      <w:pPr>
        <w:tabs>
          <w:tab w:val="left" w:pos="1400"/>
        </w:tabs>
        <w:spacing w:line="20" w:lineRule="exact"/>
        <w:ind w:firstLine="640"/>
      </w:pPr>
    </w:p>
    <w:sectPr>
      <w:pgSz w:w="16838" w:h="11906" w:orient="landscape"/>
      <w:pgMar w:top="1797" w:right="1440" w:bottom="1797" w:left="1440" w:header="851" w:footer="992" w:gutter="0"/>
      <w:pgNumType w:fmt="decimal"/>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yMGY5ODlhZmI4MDM1Zjk3ZDNlNzQ4OTRmOTg0ZmU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5542"/>
    <w:rsid w:val="00337A20"/>
    <w:rsid w:val="003477C0"/>
    <w:rsid w:val="00357430"/>
    <w:rsid w:val="0035746E"/>
    <w:rsid w:val="003740DA"/>
    <w:rsid w:val="00397BDC"/>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32771"/>
    <w:rsid w:val="005360C8"/>
    <w:rsid w:val="00544CD5"/>
    <w:rsid w:val="0054668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42BB8"/>
    <w:rsid w:val="006447D8"/>
    <w:rsid w:val="006564C8"/>
    <w:rsid w:val="00671DEC"/>
    <w:rsid w:val="00682436"/>
    <w:rsid w:val="00687B10"/>
    <w:rsid w:val="00696AC7"/>
    <w:rsid w:val="006A0C3B"/>
    <w:rsid w:val="006E18D1"/>
    <w:rsid w:val="006F4D2E"/>
    <w:rsid w:val="006F7BD2"/>
    <w:rsid w:val="00707F5E"/>
    <w:rsid w:val="00722BF5"/>
    <w:rsid w:val="00722EB4"/>
    <w:rsid w:val="007245B6"/>
    <w:rsid w:val="00731FB1"/>
    <w:rsid w:val="00732859"/>
    <w:rsid w:val="00733D5C"/>
    <w:rsid w:val="00735E28"/>
    <w:rsid w:val="00761B7C"/>
    <w:rsid w:val="00766ECA"/>
    <w:rsid w:val="00775087"/>
    <w:rsid w:val="00787EC4"/>
    <w:rsid w:val="007D3F2B"/>
    <w:rsid w:val="007D46F5"/>
    <w:rsid w:val="007D5474"/>
    <w:rsid w:val="007E038E"/>
    <w:rsid w:val="007E3BBD"/>
    <w:rsid w:val="007E5459"/>
    <w:rsid w:val="007E62E5"/>
    <w:rsid w:val="00801C96"/>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2F02"/>
    <w:rsid w:val="00AB3EF4"/>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5AE1"/>
    <w:rsid w:val="00C66709"/>
    <w:rsid w:val="00C71C69"/>
    <w:rsid w:val="00C80024"/>
    <w:rsid w:val="00CB54A7"/>
    <w:rsid w:val="00CD2B60"/>
    <w:rsid w:val="00CF2DA9"/>
    <w:rsid w:val="00CF491C"/>
    <w:rsid w:val="00D07830"/>
    <w:rsid w:val="00D15E31"/>
    <w:rsid w:val="00D476C0"/>
    <w:rsid w:val="00D70EB7"/>
    <w:rsid w:val="00D7279B"/>
    <w:rsid w:val="00D9580A"/>
    <w:rsid w:val="00DA2131"/>
    <w:rsid w:val="00DA365D"/>
    <w:rsid w:val="00DC0EB4"/>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737AF"/>
    <w:rsid w:val="00F8011D"/>
    <w:rsid w:val="00F85591"/>
    <w:rsid w:val="00F93752"/>
    <w:rsid w:val="00FB028C"/>
    <w:rsid w:val="00FC619A"/>
    <w:rsid w:val="00FE4427"/>
    <w:rsid w:val="00FE5E78"/>
    <w:rsid w:val="00FF64F1"/>
    <w:rsid w:val="01181797"/>
    <w:rsid w:val="01645940"/>
    <w:rsid w:val="03C660F1"/>
    <w:rsid w:val="042B4352"/>
    <w:rsid w:val="06DD5138"/>
    <w:rsid w:val="07CF727B"/>
    <w:rsid w:val="07D72202"/>
    <w:rsid w:val="09034D82"/>
    <w:rsid w:val="0EE02FCE"/>
    <w:rsid w:val="0F9C57E5"/>
    <w:rsid w:val="11D14067"/>
    <w:rsid w:val="156244EC"/>
    <w:rsid w:val="1B002515"/>
    <w:rsid w:val="1BA50EE0"/>
    <w:rsid w:val="1C230EBD"/>
    <w:rsid w:val="1CBF4C66"/>
    <w:rsid w:val="21032E75"/>
    <w:rsid w:val="23A61396"/>
    <w:rsid w:val="2449572C"/>
    <w:rsid w:val="2636356A"/>
    <w:rsid w:val="28577A06"/>
    <w:rsid w:val="2AE845D1"/>
    <w:rsid w:val="30FD39D4"/>
    <w:rsid w:val="32790839"/>
    <w:rsid w:val="340A4177"/>
    <w:rsid w:val="358D1218"/>
    <w:rsid w:val="360509BD"/>
    <w:rsid w:val="37360FC5"/>
    <w:rsid w:val="390B472B"/>
    <w:rsid w:val="3B080524"/>
    <w:rsid w:val="3DC03372"/>
    <w:rsid w:val="3E1D1233"/>
    <w:rsid w:val="3F6E6DC9"/>
    <w:rsid w:val="408C5853"/>
    <w:rsid w:val="441E6300"/>
    <w:rsid w:val="48C8105C"/>
    <w:rsid w:val="4E992DD9"/>
    <w:rsid w:val="50C37060"/>
    <w:rsid w:val="533F163E"/>
    <w:rsid w:val="55F834F4"/>
    <w:rsid w:val="58555460"/>
    <w:rsid w:val="5CD42C71"/>
    <w:rsid w:val="5F4E52ED"/>
    <w:rsid w:val="611B0B6F"/>
    <w:rsid w:val="63BF54E2"/>
    <w:rsid w:val="65091475"/>
    <w:rsid w:val="65A17FA7"/>
    <w:rsid w:val="666D63A3"/>
    <w:rsid w:val="69312D5B"/>
    <w:rsid w:val="6AA643D0"/>
    <w:rsid w:val="6ABB68E5"/>
    <w:rsid w:val="6C8B56E4"/>
    <w:rsid w:val="70493BA2"/>
    <w:rsid w:val="74AD3F2D"/>
    <w:rsid w:val="75814476"/>
    <w:rsid w:val="75BB1238"/>
    <w:rsid w:val="76953D74"/>
    <w:rsid w:val="77753743"/>
    <w:rsid w:val="789E7920"/>
    <w:rsid w:val="7BF34CA6"/>
    <w:rsid w:val="7F2F0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19"/>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7"/>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0"/>
    <w:unhideWhenUsed/>
    <w:qFormat/>
    <w:uiPriority w:val="9"/>
    <w:pPr>
      <w:keepNext/>
      <w:keepLines/>
      <w:ind w:firstLine="200"/>
      <w:jc w:val="left"/>
      <w:outlineLvl w:val="2"/>
    </w:pPr>
    <w:rPr>
      <w:rFonts w:ascii="宋体" w:hAnsi="宋体"/>
      <w:b/>
      <w:bCs/>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8"/>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6">
    <w:name w:val="表头"/>
    <w:basedOn w:val="1"/>
    <w:next w:val="1"/>
    <w:qFormat/>
    <w:uiPriority w:val="0"/>
    <w:pPr>
      <w:spacing w:before="100" w:after="100"/>
      <w:jc w:val="center"/>
    </w:pPr>
    <w:rPr>
      <w:rFonts w:ascii="Times New Roman" w:hAnsi="Times New Roman"/>
      <w:b/>
      <w:bCs/>
      <w:szCs w:val="28"/>
    </w:rPr>
  </w:style>
  <w:style w:type="character" w:customStyle="1" w:styleId="17">
    <w:name w:val="标题 2 字符"/>
    <w:basedOn w:val="14"/>
    <w:link w:val="3"/>
    <w:qFormat/>
    <w:uiPriority w:val="9"/>
    <w:rPr>
      <w:rFonts w:ascii="楷体" w:hAnsi="楷体" w:eastAsia="楷体" w:cstheme="majorBidi"/>
      <w:b/>
      <w:bCs/>
      <w:kern w:val="2"/>
      <w:sz w:val="32"/>
      <w:szCs w:val="32"/>
    </w:rPr>
  </w:style>
  <w:style w:type="character" w:customStyle="1" w:styleId="18">
    <w:name w:val="页脚 字符"/>
    <w:basedOn w:val="14"/>
    <w:link w:val="8"/>
    <w:qFormat/>
    <w:uiPriority w:val="99"/>
    <w:rPr>
      <w:rFonts w:eastAsia="仿宋"/>
      <w:sz w:val="28"/>
      <w:szCs w:val="28"/>
    </w:rPr>
  </w:style>
  <w:style w:type="character" w:customStyle="1" w:styleId="19">
    <w:name w:val="标题 1 字符"/>
    <w:basedOn w:val="14"/>
    <w:link w:val="2"/>
    <w:qFormat/>
    <w:uiPriority w:val="9"/>
    <w:rPr>
      <w:rFonts w:ascii="黑体" w:hAnsi="黑体" w:eastAsia="黑体"/>
      <w:b/>
      <w:bCs/>
      <w:kern w:val="44"/>
      <w:sz w:val="32"/>
      <w:szCs w:val="32"/>
    </w:rPr>
  </w:style>
  <w:style w:type="character" w:customStyle="1" w:styleId="20">
    <w:name w:val="标题 3 字符"/>
    <w:basedOn w:val="14"/>
    <w:link w:val="4"/>
    <w:qFormat/>
    <w:uiPriority w:val="9"/>
    <w:rPr>
      <w:rFonts w:ascii="宋体" w:hAnsi="宋体" w:eastAsia="仿宋"/>
      <w:b/>
      <w:bCs/>
      <w:kern w:val="2"/>
      <w:sz w:val="32"/>
      <w:szCs w:val="32"/>
    </w:rPr>
  </w:style>
  <w:style w:type="character" w:customStyle="1" w:styleId="21">
    <w:name w:val="标题 4 字符"/>
    <w:basedOn w:val="14"/>
    <w:link w:val="5"/>
    <w:semiHidden/>
    <w:qFormat/>
    <w:uiPriority w:val="9"/>
    <w:rPr>
      <w:rFonts w:asciiTheme="majorHAnsi" w:hAnsiTheme="majorHAnsi" w:eastAsiaTheme="majorEastAsia" w:cstheme="majorBidi"/>
      <w:b/>
      <w:bCs/>
      <w:kern w:val="2"/>
      <w:sz w:val="28"/>
      <w:szCs w:val="28"/>
    </w:rPr>
  </w:style>
  <w:style w:type="paragraph" w:customStyle="1" w:styleId="22">
    <w:name w:val="本模板"/>
    <w:basedOn w:val="1"/>
    <w:next w:val="1"/>
    <w:qFormat/>
    <w:uiPriority w:val="0"/>
    <w:pPr>
      <w:ind w:firstLine="0" w:firstLineChars="0"/>
      <w:jc w:val="center"/>
    </w:pPr>
  </w:style>
  <w:style w:type="paragraph" w:customStyle="1" w:styleId="23">
    <w:name w:val="由"/>
    <w:basedOn w:val="1"/>
    <w:qFormat/>
    <w:uiPriority w:val="0"/>
    <w:pPr>
      <w:ind w:firstLine="0" w:firstLineChars="0"/>
      <w:jc w:val="center"/>
    </w:pPr>
  </w:style>
  <w:style w:type="paragraph" w:customStyle="1" w:styleId="24">
    <w:name w:val="昭元绩效"/>
    <w:basedOn w:val="1"/>
    <w:qFormat/>
    <w:uiPriority w:val="0"/>
    <w:pPr>
      <w:spacing w:line="360" w:lineRule="auto"/>
      <w:ind w:firstLine="0" w:firstLineChars="0"/>
      <w:jc w:val="center"/>
    </w:pPr>
    <w:rPr>
      <w:rFonts w:eastAsia="宋体"/>
      <w:b/>
      <w:bCs/>
      <w:sz w:val="44"/>
      <w:szCs w:val="44"/>
    </w:rPr>
  </w:style>
  <w:style w:type="paragraph" w:customStyle="1" w:styleId="25">
    <w:name w:val="提供"/>
    <w:basedOn w:val="1"/>
    <w:qFormat/>
    <w:uiPriority w:val="0"/>
    <w:pPr>
      <w:ind w:firstLine="0" w:firstLineChars="0"/>
      <w:jc w:val="center"/>
    </w:pPr>
  </w:style>
  <w:style w:type="paragraph" w:customStyle="1" w:styleId="26">
    <w:name w:val="版权所有"/>
    <w:basedOn w:val="1"/>
    <w:qFormat/>
    <w:uiPriority w:val="0"/>
    <w:pPr>
      <w:ind w:firstLine="0" w:firstLineChars="0"/>
      <w:jc w:val="center"/>
    </w:pPr>
  </w:style>
  <w:style w:type="paragraph" w:customStyle="1" w:styleId="27">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9D5DC-E1BF-468F-8212-19D77A8739EF}">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12</Pages>
  <Words>4009</Words>
  <Characters>4204</Characters>
  <Lines>42</Lines>
  <Paragraphs>11</Paragraphs>
  <TotalTime>1</TotalTime>
  <ScaleCrop>false</ScaleCrop>
  <LinksUpToDate>false</LinksUpToDate>
  <CharactersWithSpaces>4234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 昭元绩效</dc:creator>
  <dc:description>昭元自评模板</dc:description>
  <cp:keywords>15515993457</cp:keywords>
  <cp:lastModifiedBy>Administrator</cp:lastModifiedBy>
  <dcterms:modified xsi:type="dcterms:W3CDTF">2022-09-06T02:05:59Z</dcterms:modified>
  <dc:subject>15515993457</dc:subject>
  <dc:title>昭元自评模板</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8040E5319DF8438F9AF461AC7598704D</vt:lpwstr>
  </property>
</Properties>
</file>