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ageBreakBefore w:val="0"/>
        <w:kinsoku/>
        <w:wordWrap/>
        <w:overflowPunct/>
        <w:topLinePunct w:val="0"/>
        <w:autoSpaceDE/>
        <w:autoSpaceDN/>
        <w:bidi w:val="0"/>
        <w:adjustRightInd/>
        <w:snapToGrid/>
        <w:spacing w:line="600" w:lineRule="exact"/>
        <w:ind w:firstLine="0" w:firstLineChars="0"/>
        <w:jc w:val="center"/>
        <w:textAlignment w:val="auto"/>
        <w:rPr>
          <w:rFonts w:hint="eastAsia" w:ascii="方正小标宋简体" w:hAnsi="方正小标宋简体" w:eastAsia="方正小标宋简体" w:cs="方正小标宋简体"/>
          <w:sz w:val="44"/>
          <w:szCs w:val="44"/>
        </w:rPr>
      </w:pPr>
      <w:bookmarkStart w:id="0" w:name="_GoBack"/>
      <w:bookmarkEnd w:id="0"/>
      <w:r>
        <w:rPr>
          <w:rFonts w:hint="eastAsia" w:ascii="方正小标宋简体" w:hAnsi="方正小标宋简体" w:eastAsia="方正小标宋简体" w:cs="方正小标宋简体"/>
          <w:sz w:val="44"/>
          <w:szCs w:val="44"/>
          <w:lang w:eastAsia="zh-CN"/>
        </w:rPr>
        <w:t>太康县</w:t>
      </w:r>
      <w:r>
        <w:rPr>
          <w:rFonts w:hint="eastAsia" w:ascii="方正小标宋简体" w:hAnsi="方正小标宋简体" w:eastAsia="方正小标宋简体" w:cs="方正小标宋简体"/>
          <w:sz w:val="44"/>
          <w:szCs w:val="44"/>
        </w:rPr>
        <w:t>农村集体经营性建设用地入市</w:t>
      </w:r>
    </w:p>
    <w:p>
      <w:pPr>
        <w:pageBreakBefore w:val="0"/>
        <w:kinsoku/>
        <w:wordWrap/>
        <w:overflowPunct/>
        <w:topLinePunct w:val="0"/>
        <w:autoSpaceDE/>
        <w:autoSpaceDN/>
        <w:bidi w:val="0"/>
        <w:adjustRightInd/>
        <w:snapToGrid/>
        <w:spacing w:line="600" w:lineRule="exact"/>
        <w:ind w:firstLine="0" w:firstLineChars="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管理办法(试行)</w:t>
      </w:r>
    </w:p>
    <w:p>
      <w:pPr>
        <w:pStyle w:val="2"/>
        <w:pageBreakBefore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p>
    <w:p>
      <w:pPr>
        <w:pStyle w:val="3"/>
        <w:pageBreakBefore w:val="0"/>
        <w:numPr>
          <w:ilvl w:val="0"/>
          <w:numId w:val="2"/>
        </w:numPr>
        <w:kinsoku/>
        <w:wordWrap/>
        <w:overflowPunct/>
        <w:topLinePunct w:val="0"/>
        <w:autoSpaceDE/>
        <w:autoSpaceDN/>
        <w:bidi w:val="0"/>
        <w:adjustRightInd/>
        <w:snapToGrid/>
        <w:spacing w:line="600" w:lineRule="exact"/>
        <w:jc w:val="center"/>
        <w:textAlignment w:val="auto"/>
        <w:rPr>
          <w:rFonts w:hint="eastAsia" w:ascii="黑体" w:hAnsi="黑体" w:eastAsia="黑体" w:cs="黑体"/>
          <w:b w:val="0"/>
          <w:bCs/>
          <w:sz w:val="32"/>
          <w:szCs w:val="32"/>
        </w:rPr>
      </w:pPr>
      <w:r>
        <w:rPr>
          <w:rFonts w:hint="eastAsia" w:ascii="黑体" w:hAnsi="黑体" w:eastAsia="黑体" w:cs="黑体"/>
          <w:b w:val="0"/>
          <w:bCs/>
          <w:sz w:val="32"/>
          <w:szCs w:val="32"/>
        </w:rPr>
        <w:t xml:space="preserve"> 总则</w:t>
      </w:r>
    </w:p>
    <w:p>
      <w:pPr>
        <w:pageBreakBefore w:val="0"/>
        <w:kinsoku/>
        <w:wordWrap/>
        <w:overflowPunct/>
        <w:topLinePunct w:val="0"/>
        <w:autoSpaceDE/>
        <w:autoSpaceDN/>
        <w:bidi w:val="0"/>
        <w:adjustRightInd/>
        <w:snapToGrid/>
        <w:spacing w:line="600" w:lineRule="exact"/>
        <w:ind w:firstLine="0" w:firstLineChars="0"/>
        <w:textAlignment w:val="auto"/>
        <w:rPr>
          <w:rFonts w:hint="eastAsia" w:ascii="仿宋_GB2312" w:hAnsi="仿宋_GB2312" w:eastAsia="仿宋_GB2312" w:cs="仿宋_GB2312"/>
          <w:sz w:val="32"/>
          <w:szCs w:val="32"/>
        </w:rPr>
      </w:pPr>
    </w:p>
    <w:p>
      <w:pPr>
        <w:pageBreakBefore w:val="0"/>
        <w:kinsoku/>
        <w:wordWrap/>
        <w:overflowPunct/>
        <w:topLinePunct w:val="0"/>
        <w:autoSpaceDE/>
        <w:autoSpaceDN/>
        <w:bidi w:val="0"/>
        <w:adjustRightInd/>
        <w:snapToGrid/>
        <w:spacing w:line="600" w:lineRule="exact"/>
        <w:ind w:firstLine="562"/>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第一条</w:t>
      </w:r>
      <w:r>
        <w:rPr>
          <w:rFonts w:hint="eastAsia" w:ascii="仿宋_GB2312" w:hAnsi="仿宋_GB2312" w:eastAsia="仿宋_GB2312" w:cs="仿宋_GB2312"/>
          <w:sz w:val="32"/>
          <w:szCs w:val="32"/>
        </w:rPr>
        <w:t xml:space="preserve"> 为规范农村集体经营性建设用地入市交易行为，保障各方合法权益，促进农村土地资源合理利用，进一步推动农村经济发展和产业升级，依据《</w:t>
      </w:r>
      <w:r>
        <w:rPr>
          <w:rFonts w:hint="eastAsia" w:ascii="仿宋_GB2312" w:hAnsi="仿宋_GB2312" w:eastAsia="仿宋_GB2312" w:cs="仿宋_GB2312"/>
          <w:sz w:val="32"/>
          <w:szCs w:val="32"/>
          <w:lang w:eastAsia="zh-CN"/>
        </w:rPr>
        <w:t>中华人民共和国</w:t>
      </w:r>
      <w:r>
        <w:rPr>
          <w:rFonts w:hint="eastAsia" w:ascii="仿宋_GB2312" w:hAnsi="仿宋_GB2312" w:eastAsia="仿宋_GB2312" w:cs="仿宋_GB2312"/>
          <w:sz w:val="32"/>
          <w:szCs w:val="32"/>
          <w:lang w:val="en-US" w:eastAsia="zh-CN"/>
        </w:rPr>
        <w:t>土</w:t>
      </w:r>
      <w:r>
        <w:rPr>
          <w:rFonts w:hint="eastAsia" w:ascii="仿宋_GB2312" w:hAnsi="仿宋_GB2312" w:eastAsia="仿宋_GB2312" w:cs="仿宋_GB2312"/>
          <w:sz w:val="32"/>
          <w:szCs w:val="32"/>
        </w:rPr>
        <w:t>地管理法》《</w:t>
      </w:r>
      <w:r>
        <w:rPr>
          <w:rFonts w:hint="eastAsia" w:ascii="仿宋_GB2312" w:hAnsi="仿宋_GB2312" w:eastAsia="仿宋_GB2312" w:cs="仿宋_GB2312"/>
          <w:sz w:val="32"/>
          <w:szCs w:val="32"/>
          <w:lang w:eastAsia="zh-CN"/>
        </w:rPr>
        <w:t>中华人民共和国</w:t>
      </w:r>
      <w:r>
        <w:rPr>
          <w:rFonts w:hint="eastAsia" w:ascii="仿宋_GB2312" w:hAnsi="仿宋_GB2312" w:eastAsia="仿宋_GB2312" w:cs="仿宋_GB2312"/>
          <w:sz w:val="32"/>
          <w:szCs w:val="32"/>
        </w:rPr>
        <w:t>土地管理法实施条例》等法律法规</w:t>
      </w:r>
      <w:r>
        <w:rPr>
          <w:rFonts w:hint="eastAsia" w:ascii="仿宋_GB2312" w:hAnsi="仿宋_GB2312" w:eastAsia="仿宋_GB2312" w:cs="仿宋_GB2312"/>
          <w:sz w:val="32"/>
          <w:szCs w:val="32"/>
          <w:lang w:val="en-US" w:eastAsia="zh-CN"/>
        </w:rPr>
        <w:t>以及</w:t>
      </w:r>
      <w:r>
        <w:rPr>
          <w:rFonts w:hint="eastAsia" w:ascii="仿宋_GB2312" w:hAnsi="仿宋_GB2312" w:eastAsia="仿宋_GB2312" w:cs="仿宋_GB2312"/>
          <w:sz w:val="32"/>
          <w:szCs w:val="32"/>
        </w:rPr>
        <w:t>《中共中央办公厅 国务院办公厅印发〈关于深化农村集体经营性建设用地入市试点工作的意见〉的通知》（厅字〔2022〕34号）《自然资源部办公厅关于印发&lt;深化农村集体经营性建设用地入市试点工作方案&gt;的通知》（自然资办函〔2023〕364号）等</w:t>
      </w:r>
      <w:r>
        <w:rPr>
          <w:rFonts w:hint="eastAsia" w:ascii="仿宋_GB2312" w:hAnsi="仿宋_GB2312" w:eastAsia="仿宋_GB2312" w:cs="仿宋_GB2312"/>
          <w:sz w:val="32"/>
          <w:szCs w:val="32"/>
          <w:lang w:val="en-US" w:eastAsia="zh-CN"/>
        </w:rPr>
        <w:t>文件</w:t>
      </w:r>
      <w:r>
        <w:rPr>
          <w:rFonts w:hint="eastAsia" w:ascii="仿宋_GB2312" w:hAnsi="仿宋_GB2312" w:eastAsia="仿宋_GB2312" w:cs="仿宋_GB2312"/>
          <w:sz w:val="32"/>
          <w:szCs w:val="32"/>
        </w:rPr>
        <w:t>精神，结合我</w:t>
      </w:r>
      <w:r>
        <w:rPr>
          <w:rFonts w:hint="eastAsia" w:ascii="仿宋_GB2312" w:hAnsi="仿宋_GB2312" w:eastAsia="仿宋_GB2312" w:cs="仿宋_GB2312"/>
          <w:sz w:val="32"/>
          <w:szCs w:val="32"/>
          <w:lang w:val="en-US" w:eastAsia="zh-CN"/>
        </w:rPr>
        <w:t>县</w:t>
      </w:r>
      <w:r>
        <w:rPr>
          <w:rFonts w:hint="eastAsia" w:ascii="仿宋_GB2312" w:hAnsi="仿宋_GB2312" w:eastAsia="仿宋_GB2312" w:cs="仿宋_GB2312"/>
          <w:sz w:val="32"/>
          <w:szCs w:val="32"/>
        </w:rPr>
        <w:t>实际，制定本办法，本办法仅适用于</w:t>
      </w:r>
      <w:r>
        <w:rPr>
          <w:rFonts w:hint="eastAsia" w:ascii="仿宋_GB2312" w:hAnsi="仿宋_GB2312" w:eastAsia="仿宋_GB2312" w:cs="仿宋_GB2312"/>
          <w:sz w:val="32"/>
          <w:szCs w:val="32"/>
          <w:lang w:eastAsia="zh-CN"/>
        </w:rPr>
        <w:t>太康县</w:t>
      </w:r>
      <w:r>
        <w:rPr>
          <w:rFonts w:hint="eastAsia" w:ascii="仿宋_GB2312" w:hAnsi="仿宋_GB2312" w:eastAsia="仿宋_GB2312" w:cs="仿宋_GB2312"/>
          <w:sz w:val="32"/>
          <w:szCs w:val="32"/>
        </w:rPr>
        <w:t>行政区域内的农村集体经营性建设用地入市管理。</w:t>
      </w:r>
    </w:p>
    <w:p>
      <w:pPr>
        <w:pageBreakBefore w:val="0"/>
        <w:kinsoku/>
        <w:wordWrap/>
        <w:overflowPunct/>
        <w:topLinePunct w:val="0"/>
        <w:autoSpaceDE/>
        <w:autoSpaceDN/>
        <w:bidi w:val="0"/>
        <w:adjustRightInd/>
        <w:snapToGrid/>
        <w:spacing w:line="600" w:lineRule="exact"/>
        <w:ind w:firstLine="562"/>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第二条</w:t>
      </w:r>
      <w:r>
        <w:rPr>
          <w:rFonts w:hint="eastAsia" w:ascii="仿宋_GB2312" w:hAnsi="仿宋_GB2312" w:eastAsia="仿宋_GB2312" w:cs="仿宋_GB2312"/>
          <w:sz w:val="32"/>
          <w:szCs w:val="32"/>
        </w:rPr>
        <w:t xml:space="preserve"> 国土空间规划确定为工业、商业等经营性用途，且依法完成权属登记的集体经营性建设用地，可以纳入入市交易范围。</w:t>
      </w:r>
    </w:p>
    <w:p>
      <w:pPr>
        <w:pageBreakBefore w:val="0"/>
        <w:kinsoku/>
        <w:wordWrap/>
        <w:overflowPunct/>
        <w:topLinePunct w:val="0"/>
        <w:autoSpaceDE/>
        <w:autoSpaceDN/>
        <w:bidi w:val="0"/>
        <w:adjustRightInd/>
        <w:snapToGrid/>
        <w:spacing w:line="600" w:lineRule="exact"/>
        <w:ind w:firstLine="562"/>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第三条</w:t>
      </w:r>
      <w:r>
        <w:rPr>
          <w:rFonts w:hint="eastAsia" w:ascii="仿宋_GB2312" w:hAnsi="仿宋_GB2312" w:eastAsia="仿宋_GB2312" w:cs="仿宋_GB2312"/>
          <w:sz w:val="32"/>
          <w:szCs w:val="32"/>
        </w:rPr>
        <w:t xml:space="preserve"> 农村集体经营性建设用地入市，是指依照《土地管理法》第六十三条规定，农民集体以土地所有权人身份通过公开的土地市场，依法将农村集体经营性建设用地使用权以出</w:t>
      </w:r>
      <w:r>
        <w:rPr>
          <w:rFonts w:hint="eastAsia" w:ascii="仿宋_GB2312" w:hAnsi="仿宋_GB2312" w:eastAsia="仿宋_GB2312" w:cs="仿宋_GB2312"/>
          <w:spacing w:val="-6"/>
          <w:sz w:val="32"/>
          <w:szCs w:val="32"/>
        </w:rPr>
        <w:t>让、出租等方式交由单位或者个人在一定期限内有偿使用的行为。</w:t>
      </w:r>
    </w:p>
    <w:p>
      <w:pPr>
        <w:pageBreakBefore w:val="0"/>
        <w:kinsoku/>
        <w:wordWrap/>
        <w:overflowPunct/>
        <w:topLinePunct w:val="0"/>
        <w:autoSpaceDE/>
        <w:autoSpaceDN/>
        <w:bidi w:val="0"/>
        <w:adjustRightInd/>
        <w:snapToGrid/>
        <w:spacing w:line="600" w:lineRule="exact"/>
        <w:ind w:firstLine="562"/>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第四条</w:t>
      </w:r>
      <w:r>
        <w:rPr>
          <w:rFonts w:hint="eastAsia" w:ascii="仿宋_GB2312" w:hAnsi="仿宋_GB2312" w:eastAsia="仿宋_GB2312" w:cs="仿宋_GB2312"/>
          <w:sz w:val="32"/>
          <w:szCs w:val="32"/>
        </w:rPr>
        <w:t xml:space="preserve"> 中华人民共和国境内的自然人、法人、除法律、法规另有规定外，均可按照本办法取得集体经营性建设用地使用权，依法进行土地开发、利用和经营。</w:t>
      </w:r>
    </w:p>
    <w:p>
      <w:pPr>
        <w:pageBreakBefore w:val="0"/>
        <w:kinsoku/>
        <w:wordWrap/>
        <w:overflowPunct/>
        <w:topLinePunct w:val="0"/>
        <w:autoSpaceDE/>
        <w:autoSpaceDN/>
        <w:bidi w:val="0"/>
        <w:adjustRightInd/>
        <w:snapToGrid/>
        <w:spacing w:line="600" w:lineRule="exact"/>
        <w:ind w:firstLine="562"/>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第五条</w:t>
      </w:r>
      <w:r>
        <w:rPr>
          <w:rFonts w:hint="eastAsia" w:ascii="仿宋_GB2312" w:hAnsi="仿宋_GB2312" w:eastAsia="仿宋_GB2312" w:cs="仿宋_GB2312"/>
          <w:sz w:val="32"/>
          <w:szCs w:val="32"/>
        </w:rPr>
        <w:t xml:space="preserve"> 入市的集体经营性建设用地，其使用权人依法享有使用和处置入市土地的权利，受《中华人民共和国民法典》等法律法规保护，同时承担和国有建设用地同等的责任和义务，接受市场监管。</w:t>
      </w:r>
    </w:p>
    <w:p>
      <w:pPr>
        <w:pStyle w:val="2"/>
        <w:pageBreakBefore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kern w:val="2"/>
          <w:sz w:val="32"/>
          <w:szCs w:val="32"/>
        </w:rPr>
      </w:pPr>
    </w:p>
    <w:p>
      <w:pPr>
        <w:pStyle w:val="3"/>
        <w:pageBreakBefore w:val="0"/>
        <w:numPr>
          <w:ilvl w:val="0"/>
          <w:numId w:val="2"/>
        </w:numPr>
        <w:kinsoku/>
        <w:wordWrap/>
        <w:overflowPunct/>
        <w:topLinePunct w:val="0"/>
        <w:autoSpaceDE/>
        <w:autoSpaceDN/>
        <w:bidi w:val="0"/>
        <w:adjustRightInd/>
        <w:snapToGrid/>
        <w:spacing w:line="600" w:lineRule="exact"/>
        <w:jc w:val="center"/>
        <w:textAlignment w:val="auto"/>
        <w:rPr>
          <w:rFonts w:hint="eastAsia" w:ascii="黑体" w:hAnsi="黑体" w:eastAsia="黑体" w:cs="黑体"/>
          <w:b w:val="0"/>
          <w:bCs/>
          <w:sz w:val="32"/>
          <w:szCs w:val="32"/>
        </w:rPr>
      </w:pPr>
      <w:r>
        <w:rPr>
          <w:rFonts w:hint="eastAsia" w:ascii="黑体" w:hAnsi="黑体" w:eastAsia="黑体" w:cs="黑体"/>
          <w:b w:val="0"/>
          <w:bCs/>
          <w:sz w:val="32"/>
          <w:szCs w:val="32"/>
        </w:rPr>
        <w:t xml:space="preserve"> 入市主体、条件</w:t>
      </w:r>
    </w:p>
    <w:p>
      <w:pPr>
        <w:rPr>
          <w:rFonts w:hint="eastAsia"/>
        </w:rPr>
      </w:pPr>
    </w:p>
    <w:p>
      <w:pPr>
        <w:pageBreakBefore w:val="0"/>
        <w:kinsoku/>
        <w:wordWrap/>
        <w:overflowPunct/>
        <w:topLinePunct w:val="0"/>
        <w:autoSpaceDE/>
        <w:autoSpaceDN/>
        <w:bidi w:val="0"/>
        <w:adjustRightInd/>
        <w:snapToGrid/>
        <w:spacing w:line="600" w:lineRule="exact"/>
        <w:ind w:firstLine="562"/>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第六条</w:t>
      </w:r>
      <w:r>
        <w:rPr>
          <w:rFonts w:hint="eastAsia" w:ascii="仿宋_GB2312" w:hAnsi="仿宋_GB2312" w:eastAsia="仿宋_GB2312" w:cs="仿宋_GB2312"/>
          <w:sz w:val="32"/>
          <w:szCs w:val="32"/>
        </w:rPr>
        <w:t xml:space="preserve"> 农村集体经营性建设用地入市主体是依法代表行使集体土地所有权的农村集体经济组织。入市前，土地所属组、村、乡镇</w:t>
      </w:r>
      <w:r>
        <w:rPr>
          <w:rFonts w:hint="eastAsia" w:ascii="仿宋_GB2312" w:hAnsi="仿宋_GB2312" w:eastAsia="仿宋_GB2312" w:cs="仿宋_GB2312"/>
          <w:sz w:val="32"/>
          <w:szCs w:val="32"/>
          <w:lang w:eastAsia="zh-CN"/>
        </w:rPr>
        <w:t>（街道）</w:t>
      </w:r>
      <w:r>
        <w:rPr>
          <w:rFonts w:hint="eastAsia" w:ascii="仿宋_GB2312" w:hAnsi="仿宋_GB2312" w:eastAsia="仿宋_GB2312" w:cs="仿宋_GB2312"/>
          <w:sz w:val="32"/>
          <w:szCs w:val="32"/>
        </w:rPr>
        <w:t>集体应完成农村集体经济组织登记赋码。</w:t>
      </w:r>
    </w:p>
    <w:p>
      <w:pPr>
        <w:pageBreakBefore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属于乡镇</w:t>
      </w:r>
      <w:r>
        <w:rPr>
          <w:rFonts w:hint="eastAsia" w:ascii="仿宋_GB2312" w:hAnsi="仿宋_GB2312" w:eastAsia="仿宋_GB2312" w:cs="仿宋_GB2312"/>
          <w:sz w:val="32"/>
          <w:szCs w:val="32"/>
          <w:lang w:eastAsia="zh-CN"/>
        </w:rPr>
        <w:t>（街道）</w:t>
      </w:r>
      <w:r>
        <w:rPr>
          <w:rFonts w:hint="eastAsia" w:ascii="仿宋_GB2312" w:hAnsi="仿宋_GB2312" w:eastAsia="仿宋_GB2312" w:cs="仿宋_GB2312"/>
          <w:sz w:val="32"/>
          <w:szCs w:val="32"/>
        </w:rPr>
        <w:t>农民集体所有的，由乡镇</w:t>
      </w:r>
      <w:r>
        <w:rPr>
          <w:rFonts w:hint="eastAsia" w:ascii="仿宋_GB2312" w:hAnsi="仿宋_GB2312" w:eastAsia="仿宋_GB2312" w:cs="仿宋_GB2312"/>
          <w:sz w:val="32"/>
          <w:szCs w:val="32"/>
          <w:lang w:eastAsia="zh-CN"/>
        </w:rPr>
        <w:t>（街道）</w:t>
      </w:r>
      <w:r>
        <w:rPr>
          <w:rFonts w:hint="eastAsia" w:ascii="仿宋_GB2312" w:hAnsi="仿宋_GB2312" w:eastAsia="仿宋_GB2312" w:cs="仿宋_GB2312"/>
          <w:sz w:val="32"/>
          <w:szCs w:val="32"/>
        </w:rPr>
        <w:t>农村集体经济组织代表集体作为入市主体；</w:t>
      </w:r>
    </w:p>
    <w:p>
      <w:pPr>
        <w:pageBreakBefore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属于村农民集体所有的，由村集体经济组织或者村民委员会代表集体作为入市主体；</w:t>
      </w:r>
    </w:p>
    <w:p>
      <w:pPr>
        <w:pageBreakBefore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pacing w:val="-6"/>
          <w:sz w:val="32"/>
          <w:szCs w:val="32"/>
        </w:rPr>
      </w:pPr>
      <w:r>
        <w:rPr>
          <w:rFonts w:hint="eastAsia" w:ascii="仿宋_GB2312" w:hAnsi="仿宋_GB2312" w:eastAsia="仿宋_GB2312" w:cs="仿宋_GB2312"/>
          <w:sz w:val="32"/>
          <w:szCs w:val="32"/>
        </w:rPr>
        <w:t>属于村内其他集体经济组织或村民小组集体所有的，由村</w:t>
      </w:r>
      <w:r>
        <w:rPr>
          <w:rFonts w:hint="eastAsia" w:ascii="仿宋_GB2312" w:hAnsi="仿宋_GB2312" w:eastAsia="仿宋_GB2312" w:cs="仿宋_GB2312"/>
          <w:spacing w:val="-6"/>
          <w:sz w:val="32"/>
          <w:szCs w:val="32"/>
        </w:rPr>
        <w:t>内各该农村集体经济组织或者村民小组代表集体作为入市主体。</w:t>
      </w:r>
    </w:p>
    <w:p>
      <w:pPr>
        <w:pageBreakBefore w:val="0"/>
        <w:kinsoku/>
        <w:wordWrap/>
        <w:overflowPunct/>
        <w:topLinePunct w:val="0"/>
        <w:autoSpaceDE/>
        <w:autoSpaceDN/>
        <w:bidi w:val="0"/>
        <w:adjustRightInd/>
        <w:snapToGrid/>
        <w:spacing w:line="600" w:lineRule="exact"/>
        <w:ind w:firstLine="562"/>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第七条</w:t>
      </w:r>
      <w:r>
        <w:rPr>
          <w:rFonts w:hint="eastAsia" w:ascii="仿宋_GB2312" w:hAnsi="仿宋_GB2312" w:eastAsia="仿宋_GB2312" w:cs="仿宋_GB2312"/>
          <w:sz w:val="32"/>
          <w:szCs w:val="32"/>
        </w:rPr>
        <w:t xml:space="preserve"> 农村集体经营性建设用地拟入市宗地应当符合以下条件:</w:t>
      </w:r>
    </w:p>
    <w:p>
      <w:pPr>
        <w:pageBreakBefore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pacing w:val="-6"/>
          <w:sz w:val="32"/>
          <w:szCs w:val="32"/>
        </w:rPr>
      </w:pPr>
      <w:r>
        <w:rPr>
          <w:rFonts w:hint="eastAsia" w:ascii="仿宋_GB2312" w:hAnsi="仿宋_GB2312" w:eastAsia="仿宋_GB2312" w:cs="仿宋_GB2312"/>
          <w:spacing w:val="-6"/>
          <w:sz w:val="32"/>
          <w:szCs w:val="32"/>
        </w:rPr>
        <w:t>（一）未被司法机关依法裁定查封或行政机关限定土地权利；</w:t>
      </w:r>
    </w:p>
    <w:p>
      <w:pPr>
        <w:pageBreakBefore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（二）农村集体经营性建设用地及其地上建筑物、附着物权属清晰、无争议;</w:t>
      </w:r>
    </w:p>
    <w:p>
      <w:pPr>
        <w:pageBreakBefore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（三）符合规划条件、产业准入、生态环境保护等要求；</w:t>
      </w:r>
    </w:p>
    <w:p>
      <w:pPr>
        <w:pageBreakBefore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符合农村集体经营性建设用地入市政策，具备必要的道路、通水、通电、土地平整等开发利用条件;拟入市的农村集体经营性建设用地可由集体士地所有权人自行或委托具有一级开发资质的企业实施前期开发，达到土地供应条件；</w:t>
      </w:r>
    </w:p>
    <w:p>
      <w:pPr>
        <w:pageBreakBefore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（五）法律法规规定的其他条件。</w:t>
      </w:r>
    </w:p>
    <w:p>
      <w:pPr>
        <w:pStyle w:val="2"/>
        <w:pageBreakBefore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p>
    <w:p>
      <w:pPr>
        <w:pStyle w:val="3"/>
        <w:pageBreakBefore w:val="0"/>
        <w:numPr>
          <w:ilvl w:val="0"/>
          <w:numId w:val="2"/>
        </w:numPr>
        <w:kinsoku/>
        <w:wordWrap/>
        <w:overflowPunct/>
        <w:topLinePunct w:val="0"/>
        <w:autoSpaceDE/>
        <w:autoSpaceDN/>
        <w:bidi w:val="0"/>
        <w:adjustRightInd/>
        <w:snapToGrid/>
        <w:spacing w:line="600" w:lineRule="exact"/>
        <w:jc w:val="center"/>
        <w:textAlignment w:val="auto"/>
        <w:rPr>
          <w:rFonts w:hint="eastAsia" w:ascii="黑体" w:hAnsi="黑体" w:eastAsia="黑体" w:cs="黑体"/>
          <w:b w:val="0"/>
          <w:bCs/>
          <w:sz w:val="32"/>
          <w:szCs w:val="32"/>
        </w:rPr>
      </w:pPr>
      <w:r>
        <w:rPr>
          <w:rFonts w:hint="eastAsia" w:ascii="黑体" w:hAnsi="黑体" w:eastAsia="黑体" w:cs="黑体"/>
          <w:b w:val="0"/>
          <w:bCs/>
          <w:sz w:val="32"/>
          <w:szCs w:val="32"/>
        </w:rPr>
        <w:t xml:space="preserve"> 入市方式</w:t>
      </w:r>
    </w:p>
    <w:p>
      <w:pPr>
        <w:pStyle w:val="2"/>
        <w:pageBreakBefore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p>
    <w:p>
      <w:pPr>
        <w:pageBreakBefore w:val="0"/>
        <w:kinsoku/>
        <w:wordWrap/>
        <w:overflowPunct/>
        <w:topLinePunct w:val="0"/>
        <w:autoSpaceDE/>
        <w:autoSpaceDN/>
        <w:bidi w:val="0"/>
        <w:adjustRightInd/>
        <w:snapToGrid/>
        <w:spacing w:line="600" w:lineRule="exact"/>
        <w:ind w:firstLine="562"/>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第八条</w:t>
      </w:r>
      <w:r>
        <w:rPr>
          <w:rFonts w:hint="eastAsia" w:ascii="仿宋_GB2312" w:hAnsi="仿宋_GB2312" w:eastAsia="仿宋_GB2312" w:cs="仿宋_GB2312"/>
          <w:sz w:val="32"/>
          <w:szCs w:val="32"/>
        </w:rPr>
        <w:t xml:space="preserve"> 农村集体经营性建设用地可按出让、租赁、作价出资（入股）等有偿使用方式入市，在使用期限内可以转让、抵押等。出让的最高年限参照同类用途的国有建设用地执行，租赁的最高年限不超过20年。</w:t>
      </w:r>
    </w:p>
    <w:p>
      <w:pPr>
        <w:pageBreakBefore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pacing w:val="-6"/>
          <w:sz w:val="32"/>
          <w:szCs w:val="32"/>
        </w:rPr>
      </w:pPr>
      <w:r>
        <w:rPr>
          <w:rFonts w:hint="eastAsia" w:ascii="仿宋_GB2312" w:hAnsi="仿宋_GB2312" w:eastAsia="仿宋_GB2312" w:cs="仿宋_GB2312"/>
          <w:sz w:val="32"/>
          <w:szCs w:val="32"/>
        </w:rPr>
        <w:t>（一）集体经营性建设用地使用权出让，是指集体经营性建设用地所有权人在一定年期内的集体经营性建设用地使用</w:t>
      </w:r>
      <w:r>
        <w:rPr>
          <w:rFonts w:hint="eastAsia" w:ascii="仿宋_GB2312" w:hAnsi="仿宋_GB2312" w:eastAsia="仿宋_GB2312" w:cs="仿宋_GB2312"/>
          <w:spacing w:val="-6"/>
          <w:sz w:val="32"/>
          <w:szCs w:val="32"/>
        </w:rPr>
        <w:t>权出让，由土地使用权人向土地所有权人支付土地出让金的行为。</w:t>
      </w:r>
    </w:p>
    <w:p>
      <w:pPr>
        <w:pageBreakBefore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（二）集体经营性建设用地使用权租赁，是指集体土地所有权人将集体经营性建设用地租赁给使用者使用，由承租人与出租人签订一定年期的土地租赁合同，并按合同约定支付土地租金的行为。</w:t>
      </w:r>
    </w:p>
    <w:p>
      <w:pPr>
        <w:pageBreakBefore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集体经营性建设用地作价出资（入股），是指集体经营性建设用地所有权人以一定期限的集体经营性建设用地使用权作价，作为出资与他人组建新企业或增资入股到已有企业的行为，该土地使用权由企业持有。集体经营性建设用地的土地使用权作价出资（入股）形成的股权由集体土地所有权人或其委托的主体单位持有。</w:t>
      </w:r>
    </w:p>
    <w:p>
      <w:pPr>
        <w:pageBreakBefore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（四）集体经营性建设用地使用权转让，是指土地使用权人将集体经营性建设用地使用权再转移的行为，包括出售、交换赠与。</w:t>
      </w:r>
    </w:p>
    <w:p>
      <w:pPr>
        <w:pageBreakBefore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（五）集体经营性建设用地使用权抵押，是指土地使用权人将通过入市取得的集体经营性建设用地，以不转移占有的方式向抵押权人提供债务履行担保的行为。</w:t>
      </w:r>
    </w:p>
    <w:p>
      <w:pPr>
        <w:pageBreakBefore w:val="0"/>
        <w:kinsoku/>
        <w:wordWrap/>
        <w:overflowPunct/>
        <w:topLinePunct w:val="0"/>
        <w:autoSpaceDE/>
        <w:autoSpaceDN/>
        <w:bidi w:val="0"/>
        <w:adjustRightInd/>
        <w:snapToGrid/>
        <w:spacing w:line="600" w:lineRule="exact"/>
        <w:ind w:firstLine="562"/>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第九条</w:t>
      </w:r>
      <w:r>
        <w:rPr>
          <w:rFonts w:hint="eastAsia" w:ascii="仿宋_GB2312" w:hAnsi="仿宋_GB2312" w:eastAsia="仿宋_GB2312" w:cs="仿宋_GB2312"/>
          <w:sz w:val="32"/>
          <w:szCs w:val="32"/>
        </w:rPr>
        <w:t xml:space="preserve"> 有下列情形之一的，相关部门不得办理农村集体经营性建设用地使用权转让手续:</w:t>
      </w:r>
    </w:p>
    <w:p>
      <w:pPr>
        <w:pageBreakBefore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（一）集体经营性建设用地使用者不按照批准的用途和规划条件使用土地的；</w:t>
      </w:r>
    </w:p>
    <w:p>
      <w:pPr>
        <w:pageBreakBefore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（二）集体经营性建设用地使用权人开发总面积不足1/3或已投资额占总投资额不足25%的；</w:t>
      </w:r>
    </w:p>
    <w:p>
      <w:pPr>
        <w:pageBreakBefore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（三）法律法规规定的其他不可转让的情况。</w:t>
      </w:r>
    </w:p>
    <w:p>
      <w:pPr>
        <w:keepNext w:val="0"/>
        <w:keepLines w:val="0"/>
        <w:pageBreakBefore w:val="0"/>
        <w:widowControl w:val="0"/>
        <w:kinsoku/>
        <w:wordWrap/>
        <w:overflowPunct/>
        <w:topLinePunct w:val="0"/>
        <w:autoSpaceDE/>
        <w:autoSpaceDN/>
        <w:bidi w:val="0"/>
        <w:adjustRightInd/>
        <w:snapToGrid/>
        <w:spacing w:line="620" w:lineRule="exact"/>
        <w:ind w:firstLine="562"/>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第十条</w:t>
      </w:r>
      <w:r>
        <w:rPr>
          <w:rFonts w:hint="eastAsia" w:ascii="仿宋_GB2312" w:hAnsi="仿宋_GB2312" w:eastAsia="仿宋_GB2312" w:cs="仿宋_GB2312"/>
          <w:sz w:val="32"/>
          <w:szCs w:val="32"/>
        </w:rPr>
        <w:t xml:space="preserve"> 农村集体经营性建设用地使用权转让的，原受让人的权利、义务随之转移。集体经营性建设用地使用权转让和抵押时，其地上合法建筑物及其他附着物随之转让和抵押；集体经营性建设用地上的建筑物及其他附着物转让和抵押时，其占用范围内的土地使用权随之转让和抵押。集体经营性建设用地使用权依法转让、出资、赠与或者抵押的，双方应当签订书面合同，并书面通知土地所有权人。</w:t>
      </w:r>
    </w:p>
    <w:p>
      <w:pPr>
        <w:keepNext w:val="0"/>
        <w:keepLines w:val="0"/>
        <w:pageBreakBefore w:val="0"/>
        <w:widowControl w:val="0"/>
        <w:kinsoku/>
        <w:wordWrap/>
        <w:overflowPunct/>
        <w:topLinePunct w:val="0"/>
        <w:autoSpaceDE/>
        <w:autoSpaceDN/>
        <w:bidi w:val="0"/>
        <w:adjustRightInd/>
        <w:snapToGrid/>
        <w:spacing w:line="620" w:lineRule="exact"/>
        <w:ind w:firstLine="562"/>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第十一条</w:t>
      </w:r>
      <w:r>
        <w:rPr>
          <w:rFonts w:hint="eastAsia" w:ascii="仿宋_GB2312" w:hAnsi="仿宋_GB2312" w:eastAsia="仿宋_GB2312" w:cs="仿宋_GB2312"/>
          <w:sz w:val="32"/>
          <w:szCs w:val="32"/>
        </w:rPr>
        <w:t xml:space="preserve"> 转让使用年限不得超过初次入市合同约定的使用截止年限。</w:t>
      </w:r>
    </w:p>
    <w:p>
      <w:pPr>
        <w:keepNext w:val="0"/>
        <w:keepLines w:val="0"/>
        <w:pageBreakBefore w:val="0"/>
        <w:widowControl w:val="0"/>
        <w:kinsoku/>
        <w:wordWrap/>
        <w:overflowPunct/>
        <w:topLinePunct w:val="0"/>
        <w:autoSpaceDE/>
        <w:autoSpaceDN/>
        <w:bidi w:val="0"/>
        <w:adjustRightInd/>
        <w:snapToGrid/>
        <w:spacing w:line="620" w:lineRule="exact"/>
        <w:ind w:firstLine="562"/>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第十二条</w:t>
      </w:r>
      <w:r>
        <w:rPr>
          <w:rFonts w:hint="eastAsia" w:ascii="仿宋_GB2312" w:hAnsi="仿宋_GB2312" w:eastAsia="仿宋_GB2312" w:cs="仿宋_GB2312"/>
          <w:sz w:val="32"/>
          <w:szCs w:val="32"/>
        </w:rPr>
        <w:t xml:space="preserve"> 农村集体经营性建设用地使用权转让和抵押的，交易双方应当持不动产权属证书、本次交易合同等资料向原登记机构申请办理转移登记、抵押登记等手续。抵押权因债务清偿或者其他原因而消灭的，应当办理注销抵押登记。因处分抵押财产而取得集体经营性建设用地使用权和地上建筑物、其他附着物所有权，应当办理转移登记。</w:t>
      </w:r>
    </w:p>
    <w:p>
      <w:pPr>
        <w:keepNext w:val="0"/>
        <w:keepLines w:val="0"/>
        <w:pageBreakBefore w:val="0"/>
        <w:widowControl w:val="0"/>
        <w:kinsoku/>
        <w:wordWrap/>
        <w:overflowPunct/>
        <w:topLinePunct w:val="0"/>
        <w:autoSpaceDE/>
        <w:autoSpaceDN/>
        <w:bidi w:val="0"/>
        <w:adjustRightInd/>
        <w:snapToGrid/>
        <w:spacing w:line="620" w:lineRule="exact"/>
        <w:ind w:firstLine="562"/>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第十三条</w:t>
      </w:r>
      <w:r>
        <w:rPr>
          <w:rFonts w:hint="eastAsia" w:ascii="仿宋_GB2312" w:hAnsi="仿宋_GB2312" w:eastAsia="仿宋_GB2312" w:cs="仿宋_GB2312"/>
          <w:sz w:val="32"/>
          <w:szCs w:val="32"/>
        </w:rPr>
        <w:t xml:space="preserve"> 入市土地转让的，应符合入市合同约定的条件。参照《河南省国土资源厅 河南省住房和城乡建设厅国家税务总局关于印发不动产交易、税费征缴、登记联办业务事项三级十同“一套材料’清单的通知》（豫国土资发〔2018〕145号）中“国有建设用地使用权转移登记（买卖）”规定的相关材料清单，办理转移登记手续。</w:t>
      </w:r>
    </w:p>
    <w:p>
      <w:pPr>
        <w:keepNext w:val="0"/>
        <w:keepLines w:val="0"/>
        <w:pageBreakBefore w:val="0"/>
        <w:widowControl w:val="0"/>
        <w:kinsoku/>
        <w:wordWrap/>
        <w:overflowPunct/>
        <w:topLinePunct w:val="0"/>
        <w:autoSpaceDE/>
        <w:autoSpaceDN/>
        <w:bidi w:val="0"/>
        <w:adjustRightInd/>
        <w:snapToGrid/>
        <w:spacing w:line="620" w:lineRule="exact"/>
        <w:ind w:firstLine="562"/>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第十四条</w:t>
      </w:r>
      <w:r>
        <w:rPr>
          <w:rFonts w:hint="eastAsia" w:ascii="仿宋_GB2312" w:hAnsi="仿宋_GB2312" w:eastAsia="仿宋_GB2312" w:cs="仿宋_GB2312"/>
          <w:sz w:val="32"/>
          <w:szCs w:val="32"/>
        </w:rPr>
        <w:t xml:space="preserve"> 农村集体经营性建设用地使用权被作为抵押物的，债务人不履行债务时，抵押权人有权依法处分抵押的集体经营性建设用地使用权，并对处分所得享有优先受偿权。</w:t>
      </w:r>
    </w:p>
    <w:p>
      <w:pPr>
        <w:pStyle w:val="3"/>
        <w:pageBreakBefore w:val="0"/>
        <w:numPr>
          <w:ilvl w:val="0"/>
          <w:numId w:val="2"/>
        </w:numPr>
        <w:kinsoku/>
        <w:wordWrap/>
        <w:overflowPunct/>
        <w:topLinePunct w:val="0"/>
        <w:autoSpaceDE/>
        <w:autoSpaceDN/>
        <w:bidi w:val="0"/>
        <w:adjustRightInd/>
        <w:snapToGrid/>
        <w:spacing w:line="600" w:lineRule="exact"/>
        <w:jc w:val="center"/>
        <w:textAlignment w:val="auto"/>
        <w:rPr>
          <w:rFonts w:hint="eastAsia" w:ascii="黑体" w:hAnsi="黑体" w:eastAsia="黑体" w:cs="黑体"/>
          <w:b w:val="0"/>
          <w:bCs/>
          <w:sz w:val="32"/>
          <w:szCs w:val="32"/>
        </w:rPr>
      </w:pPr>
      <w:r>
        <w:rPr>
          <w:rFonts w:hint="eastAsia" w:ascii="黑体" w:hAnsi="黑体" w:eastAsia="黑体" w:cs="黑体"/>
          <w:b w:val="0"/>
          <w:bCs/>
          <w:sz w:val="32"/>
          <w:szCs w:val="32"/>
        </w:rPr>
        <w:t>入市程序</w:t>
      </w:r>
    </w:p>
    <w:p>
      <w:pPr>
        <w:rPr>
          <w:rFonts w:hint="eastAsia"/>
        </w:rPr>
      </w:pPr>
    </w:p>
    <w:p>
      <w:pPr>
        <w:pageBreakBefore w:val="0"/>
        <w:kinsoku/>
        <w:wordWrap/>
        <w:overflowPunct/>
        <w:topLinePunct w:val="0"/>
        <w:autoSpaceDE/>
        <w:autoSpaceDN/>
        <w:bidi w:val="0"/>
        <w:adjustRightInd/>
        <w:snapToGrid/>
        <w:spacing w:line="600" w:lineRule="exact"/>
        <w:ind w:firstLine="562"/>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第十五条</w:t>
      </w:r>
      <w:r>
        <w:rPr>
          <w:rFonts w:hint="eastAsia" w:ascii="仿宋_GB2312" w:hAnsi="仿宋_GB2312" w:eastAsia="仿宋_GB2312" w:cs="仿宋_GB2312"/>
          <w:sz w:val="32"/>
          <w:szCs w:val="32"/>
        </w:rPr>
        <w:t xml:space="preserve"> 集体经营性建设用地入市按以下程序办理：入市准备、价格评估、拟定入市方案、入市核对、公开交易、订合同、产权登记、联合监管。</w:t>
      </w:r>
    </w:p>
    <w:p>
      <w:pPr>
        <w:pageBreakBefore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楷体_GB2312" w:hAnsi="楷体_GB2312" w:eastAsia="楷体_GB2312" w:cs="楷体_GB2312"/>
          <w:sz w:val="32"/>
          <w:szCs w:val="32"/>
        </w:rPr>
        <w:t>(一)入市准备。</w:t>
      </w:r>
      <w:r>
        <w:rPr>
          <w:rFonts w:hint="eastAsia" w:ascii="仿宋_GB2312" w:hAnsi="仿宋_GB2312" w:eastAsia="仿宋_GB2312" w:cs="仿宋_GB2312"/>
          <w:sz w:val="32"/>
          <w:szCs w:val="32"/>
        </w:rPr>
        <w:t>入市主体提出入市意向，经</w:t>
      </w:r>
      <w:r>
        <w:rPr>
          <w:rFonts w:hint="eastAsia" w:ascii="仿宋_GB2312" w:hAnsi="仿宋_GB2312" w:eastAsia="仿宋_GB2312" w:cs="仿宋_GB2312"/>
          <w:sz w:val="32"/>
          <w:szCs w:val="32"/>
          <w:lang w:eastAsia="zh-CN"/>
        </w:rPr>
        <w:t>乡</w:t>
      </w:r>
      <w:r>
        <w:rPr>
          <w:rFonts w:hint="eastAsia" w:ascii="仿宋_GB2312" w:hAnsi="仿宋_GB2312" w:eastAsia="仿宋_GB2312" w:cs="仿宋_GB2312"/>
          <w:sz w:val="32"/>
          <w:szCs w:val="32"/>
        </w:rPr>
        <w:t>镇政府(街道</w:t>
      </w:r>
      <w:r>
        <w:rPr>
          <w:rFonts w:hint="eastAsia" w:ascii="仿宋_GB2312" w:hAnsi="仿宋_GB2312" w:eastAsia="仿宋_GB2312" w:cs="仿宋_GB2312"/>
          <w:sz w:val="32"/>
          <w:szCs w:val="32"/>
          <w:lang w:eastAsia="zh-CN"/>
        </w:rPr>
        <w:t>办事处</w:t>
      </w:r>
      <w:r>
        <w:rPr>
          <w:rFonts w:hint="eastAsia" w:ascii="仿宋_GB2312" w:hAnsi="仿宋_GB2312" w:eastAsia="仿宋_GB2312" w:cs="仿宋_GB2312"/>
          <w:sz w:val="32"/>
          <w:szCs w:val="32"/>
        </w:rPr>
        <w:t>)审查后，征询自然资源、发改、生态环境等部门意见，明确规划条件、产业准入、生态环境保护要求等。</w:t>
      </w:r>
    </w:p>
    <w:p>
      <w:pPr>
        <w:pageBreakBefore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楷体_GB2312" w:hAnsi="楷体_GB2312" w:eastAsia="楷体_GB2312" w:cs="楷体_GB2312"/>
          <w:sz w:val="32"/>
          <w:szCs w:val="32"/>
        </w:rPr>
        <w:t>(二)价格评估。</w:t>
      </w:r>
      <w:r>
        <w:rPr>
          <w:rFonts w:hint="eastAsia" w:ascii="仿宋_GB2312" w:hAnsi="仿宋_GB2312" w:eastAsia="仿宋_GB2312" w:cs="仿宋_GB2312"/>
          <w:sz w:val="32"/>
          <w:szCs w:val="32"/>
        </w:rPr>
        <w:t>入市主体应当根据基准地价等政府公示价格和土地估价专业评估机构的评估结果综合确定入市底价。</w:t>
      </w:r>
    </w:p>
    <w:p>
      <w:pPr>
        <w:pageBreakBefore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pacing w:val="-6"/>
          <w:sz w:val="32"/>
          <w:szCs w:val="32"/>
        </w:rPr>
      </w:pPr>
      <w:r>
        <w:rPr>
          <w:rFonts w:hint="eastAsia" w:ascii="楷体_GB2312" w:hAnsi="楷体_GB2312" w:eastAsia="楷体_GB2312" w:cs="楷体_GB2312"/>
          <w:sz w:val="32"/>
          <w:szCs w:val="32"/>
        </w:rPr>
        <w:t>(三)制定入市方案。</w:t>
      </w:r>
      <w:r>
        <w:rPr>
          <w:rFonts w:hint="eastAsia" w:ascii="仿宋_GB2312" w:hAnsi="仿宋_GB2312" w:eastAsia="仿宋_GB2312" w:cs="仿宋_GB2312"/>
          <w:sz w:val="32"/>
          <w:szCs w:val="32"/>
        </w:rPr>
        <w:t>入市主体应当依据规划条件、产业准入和生态环境保护等要求，编制农村集体经营性建设用地入市方案，明确拟入市宗地的界址、面积、用途、使用期限、交易方式、入市价格、集体收益分配安排等内容。入市方案需经本集体经济组织成员的村民会议三分之二以上成员或三分之二</w:t>
      </w:r>
      <w:r>
        <w:rPr>
          <w:rFonts w:hint="eastAsia" w:ascii="仿宋_GB2312" w:hAnsi="仿宋_GB2312" w:eastAsia="仿宋_GB2312" w:cs="仿宋_GB2312"/>
          <w:spacing w:val="-6"/>
          <w:sz w:val="32"/>
          <w:szCs w:val="32"/>
        </w:rPr>
        <w:t>以上村民代表表决同意并形成入市方案表决同意书后方可实施。</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ascii="仿宋_GB2312" w:hAnsi="仿宋_GB2312" w:eastAsia="仿宋_GB2312" w:cs="仿宋_GB2312"/>
          <w:sz w:val="32"/>
          <w:szCs w:val="32"/>
        </w:rPr>
      </w:pPr>
      <w:r>
        <w:rPr>
          <w:rFonts w:hint="eastAsia" w:ascii="楷体_GB2312" w:hAnsi="楷体_GB2312" w:eastAsia="楷体_GB2312" w:cs="楷体_GB2312"/>
          <w:sz w:val="32"/>
          <w:szCs w:val="32"/>
        </w:rPr>
        <w:t>(四)入市核对。</w:t>
      </w:r>
      <w:r>
        <w:rPr>
          <w:rFonts w:hint="eastAsia" w:ascii="仿宋_GB2312" w:hAnsi="仿宋_GB2312" w:eastAsia="仿宋_GB2312" w:cs="仿宋_GB2312"/>
          <w:sz w:val="32"/>
          <w:szCs w:val="32"/>
        </w:rPr>
        <w:t>入市主体需持入市申请表、入市方案和入市方案表决同意书向乡镇政府（街道办事处）提出入市申请。乡镇政府（街道办事处）审核通过后，应于5个工作日内由乡镇政府（街道办事处）报</w:t>
      </w:r>
      <w:r>
        <w:rPr>
          <w:rFonts w:hint="eastAsia" w:ascii="仿宋_GB2312" w:hAnsi="仿宋_GB2312" w:eastAsia="仿宋_GB2312" w:cs="仿宋_GB2312"/>
          <w:sz w:val="32"/>
          <w:szCs w:val="32"/>
          <w:lang w:eastAsia="zh-CN"/>
        </w:rPr>
        <w:t>县</w:t>
      </w:r>
      <w:r>
        <w:rPr>
          <w:rFonts w:hint="eastAsia" w:ascii="仿宋_GB2312" w:hAnsi="仿宋_GB2312" w:eastAsia="仿宋_GB2312" w:cs="仿宋_GB2312"/>
          <w:sz w:val="32"/>
          <w:szCs w:val="32"/>
        </w:rPr>
        <w:t>自然资源部门，并提供土地权属证明、入市方案、入市方案表决同意书等材料，</w:t>
      </w:r>
      <w:r>
        <w:rPr>
          <w:rFonts w:hint="eastAsia" w:ascii="仿宋_GB2312" w:hAnsi="仿宋_GB2312" w:eastAsia="仿宋_GB2312" w:cs="仿宋_GB2312"/>
          <w:sz w:val="32"/>
          <w:szCs w:val="32"/>
          <w:lang w:eastAsia="zh-CN"/>
        </w:rPr>
        <w:t>县</w:t>
      </w:r>
      <w:r>
        <w:rPr>
          <w:rFonts w:hint="eastAsia" w:ascii="仿宋_GB2312" w:hAnsi="仿宋_GB2312" w:eastAsia="仿宋_GB2312" w:cs="仿宋_GB2312"/>
          <w:sz w:val="32"/>
          <w:szCs w:val="32"/>
        </w:rPr>
        <w:t>自然资源部门应在发布入市公告不少于10个工作日前报请</w:t>
      </w:r>
      <w:r>
        <w:rPr>
          <w:rFonts w:hint="eastAsia" w:ascii="仿宋_GB2312" w:hAnsi="仿宋_GB2312" w:eastAsia="仿宋_GB2312" w:cs="仿宋_GB2312"/>
          <w:sz w:val="32"/>
          <w:szCs w:val="32"/>
          <w:lang w:eastAsia="zh-CN"/>
        </w:rPr>
        <w:t>县</w:t>
      </w:r>
      <w:r>
        <w:rPr>
          <w:rFonts w:hint="eastAsia" w:ascii="仿宋_GB2312" w:hAnsi="仿宋_GB2312" w:eastAsia="仿宋_GB2312" w:cs="仿宋_GB2312"/>
          <w:sz w:val="32"/>
          <w:szCs w:val="32"/>
        </w:rPr>
        <w:t>农村集体经营性建设用地入市工作领导小组。领导小组召集</w:t>
      </w:r>
      <w:r>
        <w:rPr>
          <w:rFonts w:hint="eastAsia" w:ascii="仿宋_GB2312" w:hAnsi="仿宋_GB2312" w:eastAsia="仿宋_GB2312" w:cs="仿宋_GB2312"/>
          <w:sz w:val="32"/>
          <w:szCs w:val="32"/>
          <w:lang w:eastAsia="zh-CN"/>
        </w:rPr>
        <w:t>县</w:t>
      </w:r>
      <w:r>
        <w:rPr>
          <w:rFonts w:hint="eastAsia" w:ascii="仿宋_GB2312" w:hAnsi="仿宋_GB2312" w:eastAsia="仿宋_GB2312" w:cs="仿宋_GB2312"/>
          <w:sz w:val="32"/>
          <w:szCs w:val="32"/>
        </w:rPr>
        <w:t>自然资源、农业农村、财政等有关部门对履行规划条件、民主决策程序、收益分配安排、生态环境保护</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产业准入要求等情况进行审核，认为不符合要求的，入市主体应当按照审核意见进行修改，最终经</w:t>
      </w:r>
      <w:r>
        <w:rPr>
          <w:rFonts w:hint="eastAsia" w:ascii="仿宋_GB2312" w:hAnsi="仿宋_GB2312" w:eastAsia="仿宋_GB2312" w:cs="仿宋_GB2312"/>
          <w:sz w:val="32"/>
          <w:szCs w:val="32"/>
          <w:lang w:eastAsia="zh-CN"/>
        </w:rPr>
        <w:t>县</w:t>
      </w:r>
      <w:r>
        <w:rPr>
          <w:rFonts w:hint="eastAsia" w:ascii="仿宋_GB2312" w:hAnsi="仿宋_GB2312" w:eastAsia="仿宋_GB2312" w:cs="仿宋_GB2312"/>
          <w:sz w:val="32"/>
          <w:szCs w:val="32"/>
        </w:rPr>
        <w:t>政府核准后方可进入土地市场进行公开交易。</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ascii="仿宋_GB2312" w:hAnsi="仿宋_GB2312" w:eastAsia="仿宋_GB2312" w:cs="仿宋_GB2312"/>
          <w:sz w:val="32"/>
          <w:szCs w:val="32"/>
        </w:rPr>
      </w:pPr>
      <w:r>
        <w:rPr>
          <w:rFonts w:hint="eastAsia" w:ascii="楷体_GB2312" w:hAnsi="楷体_GB2312" w:eastAsia="楷体_GB2312" w:cs="楷体_GB2312"/>
          <w:sz w:val="32"/>
          <w:szCs w:val="32"/>
        </w:rPr>
        <w:t>(五)公开交易。</w:t>
      </w:r>
      <w:r>
        <w:rPr>
          <w:rFonts w:hint="eastAsia" w:ascii="仿宋_GB2312" w:hAnsi="仿宋_GB2312" w:eastAsia="仿宋_GB2312" w:cs="仿宋_GB2312"/>
          <w:sz w:val="32"/>
          <w:szCs w:val="32"/>
        </w:rPr>
        <w:t>参照国有建设用地规则，入市主体可委托自然资源部门在中国土地市场网</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周口市公共资源交易中心等交易平台发布公告进行公开交易并确定使用权人。</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ascii="仿宋_GB2312" w:hAnsi="仿宋_GB2312" w:eastAsia="仿宋_GB2312" w:cs="仿宋_GB2312"/>
          <w:sz w:val="32"/>
          <w:szCs w:val="32"/>
        </w:rPr>
      </w:pPr>
      <w:r>
        <w:rPr>
          <w:rFonts w:hint="eastAsia" w:ascii="楷体_GB2312" w:hAnsi="楷体_GB2312" w:eastAsia="楷体_GB2312" w:cs="楷体_GB2312"/>
          <w:sz w:val="32"/>
          <w:szCs w:val="32"/>
        </w:rPr>
        <w:t>(六)签订合同。</w:t>
      </w:r>
      <w:r>
        <w:rPr>
          <w:rFonts w:hint="eastAsia" w:ascii="仿宋_GB2312" w:hAnsi="仿宋_GB2312" w:eastAsia="仿宋_GB2312" w:cs="仿宋_GB2312"/>
          <w:sz w:val="32"/>
          <w:szCs w:val="32"/>
        </w:rPr>
        <w:t>入市宗地成交并完成公示后，自然资源部门指导交易双方依法签订书面合同并备案。合同载明土地界址、面积、用途、规划条件使用期限、交易价款支付、交地时间和开竣工期限、产业准入和生态环境保护要求，约定提前收回的条件、补偿方式、土地使用权届满续期和地上建筑物、构筑物等附着物处理方式，以及违约责任和解决争议的方法等。在出让合同的基础上，依据出让方案签订农村集体经营性建设用地使用权出让监管协议。出让合同和三方监管协议应当采用自然资源部、国家市场监管总局制定的样本。</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ascii="仿宋_GB2312" w:hAnsi="仿宋_GB2312" w:eastAsia="仿宋_GB2312" w:cs="仿宋_GB2312"/>
          <w:sz w:val="32"/>
          <w:szCs w:val="32"/>
        </w:rPr>
      </w:pPr>
      <w:r>
        <w:rPr>
          <w:rFonts w:hint="eastAsia" w:ascii="楷体_GB2312" w:hAnsi="楷体_GB2312" w:eastAsia="楷体_GB2312" w:cs="楷体_GB2312"/>
          <w:sz w:val="32"/>
          <w:szCs w:val="32"/>
        </w:rPr>
        <w:t>(七)产权登记。</w:t>
      </w:r>
      <w:r>
        <w:rPr>
          <w:rFonts w:hint="eastAsia" w:ascii="仿宋_GB2312" w:hAnsi="仿宋_GB2312" w:eastAsia="仿宋_GB2312" w:cs="仿宋_GB2312"/>
          <w:sz w:val="32"/>
          <w:szCs w:val="32"/>
        </w:rPr>
        <w:t>在缴清土地价款、增值收益调节金、各项税费后，使用权人可向不动产登记机构申请集体建设用地使用权登记。合法建造的建筑物、构筑物及其附属设施，可以依法申请地上建筑物、构筑物及其附属设施所有权登记。集体经营性建设用地使用权发生变更、转移、抵押的，地上建筑物、其他附着物所有权一并变更、转移、抵押。</w:t>
      </w:r>
    </w:p>
    <w:p>
      <w:pPr>
        <w:pageBreakBefore w:val="0"/>
        <w:kinsoku/>
        <w:wordWrap/>
        <w:overflowPunct/>
        <w:topLinePunct w:val="0"/>
        <w:autoSpaceDE/>
        <w:autoSpaceDN/>
        <w:bidi w:val="0"/>
        <w:adjustRightInd/>
        <w:snapToGrid/>
        <w:spacing w:line="580" w:lineRule="exact"/>
        <w:textAlignment w:val="auto"/>
        <w:rPr>
          <w:rFonts w:hint="eastAsia" w:ascii="仿宋_GB2312" w:hAnsi="仿宋_GB2312" w:eastAsia="仿宋_GB2312" w:cs="仿宋_GB2312"/>
          <w:sz w:val="32"/>
          <w:szCs w:val="32"/>
        </w:rPr>
      </w:pPr>
      <w:r>
        <w:rPr>
          <w:rFonts w:hint="eastAsia" w:ascii="楷体_GB2312" w:hAnsi="楷体_GB2312" w:eastAsia="楷体_GB2312" w:cs="楷体_GB2312"/>
          <w:sz w:val="32"/>
          <w:szCs w:val="32"/>
        </w:rPr>
        <w:t>(八)监督管理。</w:t>
      </w:r>
      <w:r>
        <w:rPr>
          <w:rFonts w:hint="eastAsia" w:ascii="楷体_GB2312" w:hAnsi="楷体_GB2312" w:eastAsia="楷体_GB2312" w:cs="楷体_GB2312"/>
          <w:sz w:val="32"/>
          <w:szCs w:val="32"/>
          <w:lang w:eastAsia="zh-CN"/>
        </w:rPr>
        <w:t>乡</w:t>
      </w:r>
      <w:r>
        <w:rPr>
          <w:rFonts w:hint="eastAsia" w:ascii="仿宋_GB2312" w:hAnsi="仿宋_GB2312" w:eastAsia="仿宋_GB2312" w:cs="仿宋_GB2312"/>
          <w:sz w:val="32"/>
          <w:szCs w:val="32"/>
        </w:rPr>
        <w:t>镇政府(街道</w:t>
      </w:r>
      <w:r>
        <w:rPr>
          <w:rFonts w:hint="eastAsia" w:ascii="仿宋_GB2312" w:hAnsi="仿宋_GB2312" w:eastAsia="仿宋_GB2312" w:cs="仿宋_GB2312"/>
          <w:sz w:val="32"/>
          <w:szCs w:val="32"/>
          <w:lang w:eastAsia="zh-CN"/>
        </w:rPr>
        <w:t>办事处</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和</w:t>
      </w:r>
      <w:r>
        <w:rPr>
          <w:rFonts w:hint="eastAsia" w:ascii="仿宋_GB2312" w:hAnsi="仿宋_GB2312" w:eastAsia="仿宋_GB2312" w:cs="仿宋_GB2312"/>
          <w:sz w:val="32"/>
          <w:szCs w:val="32"/>
        </w:rPr>
        <w:t>自然资源、发改、生态环境等部门按照“谁主管、谁提出、谁负责”的原则对合同附具的约束条件和法定监管事项实施联合监管。</w:t>
      </w:r>
    </w:p>
    <w:p>
      <w:pPr>
        <w:pageBreakBefore w:val="0"/>
        <w:kinsoku/>
        <w:wordWrap/>
        <w:overflowPunct/>
        <w:topLinePunct w:val="0"/>
        <w:autoSpaceDE/>
        <w:autoSpaceDN/>
        <w:bidi w:val="0"/>
        <w:adjustRightInd/>
        <w:snapToGrid/>
        <w:spacing w:line="580" w:lineRule="exact"/>
        <w:ind w:firstLine="562"/>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第十六条</w:t>
      </w:r>
      <w:r>
        <w:rPr>
          <w:rFonts w:hint="eastAsia" w:ascii="仿宋_GB2312" w:hAnsi="仿宋_GB2312" w:eastAsia="仿宋_GB2312" w:cs="仿宋_GB2312"/>
          <w:sz w:val="32"/>
          <w:szCs w:val="32"/>
        </w:rPr>
        <w:t xml:space="preserve"> 用地人应按入市合同约定和相关政策规定缴纳入市地款、调节金等相关款项，逾期缴纳的，每逾期一日按应缴款金额的1%计征违约金，该违约金列入政府调节金收入出让地价款、调节金、违约金均应缴入</w:t>
      </w:r>
      <w:r>
        <w:rPr>
          <w:rFonts w:hint="eastAsia" w:ascii="仿宋_GB2312" w:hAnsi="仿宋_GB2312" w:eastAsia="仿宋_GB2312" w:cs="仿宋_GB2312"/>
          <w:sz w:val="32"/>
          <w:szCs w:val="32"/>
          <w:lang w:eastAsia="zh-CN"/>
        </w:rPr>
        <w:t>县</w:t>
      </w:r>
      <w:r>
        <w:rPr>
          <w:rFonts w:hint="eastAsia" w:ascii="仿宋_GB2312" w:hAnsi="仿宋_GB2312" w:eastAsia="仿宋_GB2312" w:cs="仿宋_GB2312"/>
          <w:sz w:val="32"/>
          <w:szCs w:val="32"/>
        </w:rPr>
        <w:t>财政局指定监管账户</w:t>
      </w:r>
    </w:p>
    <w:p>
      <w:pPr>
        <w:pStyle w:val="2"/>
        <w:pageBreakBefore w:val="0"/>
        <w:kinsoku/>
        <w:wordWrap/>
        <w:overflowPunct/>
        <w:topLinePunct w:val="0"/>
        <w:autoSpaceDE/>
        <w:autoSpaceDN/>
        <w:bidi w:val="0"/>
        <w:adjustRightInd/>
        <w:snapToGrid/>
        <w:spacing w:line="580" w:lineRule="exact"/>
        <w:textAlignment w:val="auto"/>
        <w:rPr>
          <w:rFonts w:hint="eastAsia" w:ascii="仿宋_GB2312" w:hAnsi="仿宋_GB2312" w:eastAsia="仿宋_GB2312" w:cs="仿宋_GB2312"/>
          <w:kern w:val="2"/>
          <w:sz w:val="32"/>
          <w:szCs w:val="32"/>
        </w:rPr>
      </w:pPr>
    </w:p>
    <w:p>
      <w:pPr>
        <w:pStyle w:val="3"/>
        <w:pageBreakBefore w:val="0"/>
        <w:numPr>
          <w:ilvl w:val="0"/>
          <w:numId w:val="2"/>
        </w:numPr>
        <w:kinsoku/>
        <w:wordWrap/>
        <w:overflowPunct/>
        <w:topLinePunct w:val="0"/>
        <w:autoSpaceDE/>
        <w:autoSpaceDN/>
        <w:bidi w:val="0"/>
        <w:adjustRightInd/>
        <w:snapToGrid/>
        <w:spacing w:line="580" w:lineRule="exact"/>
        <w:jc w:val="center"/>
        <w:textAlignment w:val="auto"/>
        <w:rPr>
          <w:rFonts w:hint="eastAsia" w:ascii="黑体" w:hAnsi="黑体" w:eastAsia="黑体" w:cs="黑体"/>
          <w:b w:val="0"/>
          <w:bCs/>
          <w:kern w:val="2"/>
          <w:sz w:val="32"/>
          <w:szCs w:val="32"/>
          <w:lang w:val="en-US" w:eastAsia="zh-CN" w:bidi="ar-SA"/>
        </w:rPr>
      </w:pPr>
      <w:r>
        <w:rPr>
          <w:rFonts w:hint="eastAsia" w:ascii="黑体" w:hAnsi="黑体" w:eastAsia="黑体" w:cs="黑体"/>
          <w:b w:val="0"/>
          <w:bCs/>
          <w:sz w:val="32"/>
          <w:szCs w:val="32"/>
        </w:rPr>
        <w:t>收益管理</w:t>
      </w:r>
    </w:p>
    <w:p>
      <w:pPr>
        <w:pageBreakBefore w:val="0"/>
        <w:kinsoku/>
        <w:wordWrap/>
        <w:overflowPunct/>
        <w:topLinePunct w:val="0"/>
        <w:autoSpaceDE/>
        <w:autoSpaceDN/>
        <w:bidi w:val="0"/>
        <w:adjustRightInd/>
        <w:snapToGrid/>
        <w:spacing w:line="580" w:lineRule="exact"/>
        <w:textAlignment w:val="auto"/>
        <w:rPr>
          <w:rFonts w:hint="eastAsia" w:ascii="仿宋_GB2312" w:hAnsi="仿宋_GB2312" w:eastAsia="仿宋_GB2312" w:cs="仿宋_GB2312"/>
          <w:sz w:val="32"/>
          <w:szCs w:val="32"/>
        </w:rPr>
      </w:pPr>
    </w:p>
    <w:p>
      <w:pPr>
        <w:pageBreakBefore w:val="0"/>
        <w:kinsoku/>
        <w:wordWrap/>
        <w:overflowPunct/>
        <w:topLinePunct w:val="0"/>
        <w:autoSpaceDE/>
        <w:autoSpaceDN/>
        <w:bidi w:val="0"/>
        <w:adjustRightInd/>
        <w:snapToGrid/>
        <w:spacing w:line="580" w:lineRule="exact"/>
        <w:ind w:firstLine="562"/>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第十七条</w:t>
      </w: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eastAsia="zh-CN"/>
        </w:rPr>
        <w:t>县</w:t>
      </w:r>
      <w:r>
        <w:rPr>
          <w:rFonts w:hint="eastAsia" w:ascii="仿宋_GB2312" w:hAnsi="仿宋_GB2312" w:eastAsia="仿宋_GB2312" w:cs="仿宋_GB2312"/>
          <w:sz w:val="32"/>
          <w:szCs w:val="32"/>
        </w:rPr>
        <w:t>政府制定土地增值收益调节金征管实施细确定合理的国家、农民集体经济组织和农民收益分配比例关系，实现农民集体在入市和土地征收中收益比例大体相当，农村集体经济组织及其成员从不同用途入市土地所得收益基本均衡。</w:t>
      </w:r>
    </w:p>
    <w:p>
      <w:pPr>
        <w:pageBreakBefore w:val="0"/>
        <w:kinsoku/>
        <w:wordWrap/>
        <w:overflowPunct/>
        <w:topLinePunct w:val="0"/>
        <w:autoSpaceDE/>
        <w:autoSpaceDN/>
        <w:bidi w:val="0"/>
        <w:adjustRightInd/>
        <w:snapToGrid/>
        <w:spacing w:line="580" w:lineRule="exact"/>
        <w:ind w:firstLine="562"/>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第十八条</w:t>
      </w:r>
      <w:r>
        <w:rPr>
          <w:rFonts w:hint="eastAsia" w:ascii="仿宋_GB2312" w:hAnsi="仿宋_GB2312" w:eastAsia="仿宋_GB2312" w:cs="仿宋_GB2312"/>
          <w:sz w:val="32"/>
          <w:szCs w:val="32"/>
        </w:rPr>
        <w:t xml:space="preserve"> 对出让入市的，调节金征收实行扣缴制。出让土地成交后，受让人应按合同约定将成交价款全额缴入</w:t>
      </w:r>
      <w:r>
        <w:rPr>
          <w:rFonts w:hint="eastAsia" w:ascii="仿宋_GB2312" w:hAnsi="仿宋_GB2312" w:eastAsia="仿宋_GB2312" w:cs="仿宋_GB2312"/>
          <w:sz w:val="32"/>
          <w:szCs w:val="32"/>
          <w:lang w:eastAsia="zh-CN"/>
        </w:rPr>
        <w:t>县</w:t>
      </w:r>
      <w:r>
        <w:rPr>
          <w:rFonts w:hint="eastAsia" w:ascii="仿宋_GB2312" w:hAnsi="仿宋_GB2312" w:eastAsia="仿宋_GB2312" w:cs="仿宋_GB2312"/>
          <w:sz w:val="32"/>
          <w:szCs w:val="32"/>
        </w:rPr>
        <w:t>财政局指定账户，</w:t>
      </w:r>
      <w:r>
        <w:rPr>
          <w:rFonts w:hint="eastAsia" w:ascii="仿宋_GB2312" w:hAnsi="仿宋_GB2312" w:eastAsia="仿宋_GB2312" w:cs="仿宋_GB2312"/>
          <w:sz w:val="32"/>
          <w:szCs w:val="32"/>
          <w:lang w:eastAsia="zh-CN"/>
        </w:rPr>
        <w:t>县</w:t>
      </w:r>
      <w:r>
        <w:rPr>
          <w:rFonts w:hint="eastAsia" w:ascii="仿宋_GB2312" w:hAnsi="仿宋_GB2312" w:eastAsia="仿宋_GB2312" w:cs="仿宋_GB2312"/>
          <w:sz w:val="32"/>
          <w:szCs w:val="32"/>
        </w:rPr>
        <w:t>财政局会同</w:t>
      </w:r>
      <w:r>
        <w:rPr>
          <w:rFonts w:hint="eastAsia" w:ascii="仿宋_GB2312" w:hAnsi="仿宋_GB2312" w:eastAsia="仿宋_GB2312" w:cs="仿宋_GB2312"/>
          <w:sz w:val="32"/>
          <w:szCs w:val="32"/>
          <w:lang w:eastAsia="zh-CN"/>
        </w:rPr>
        <w:t>县</w:t>
      </w:r>
      <w:r>
        <w:rPr>
          <w:rFonts w:hint="eastAsia" w:ascii="仿宋_GB2312" w:hAnsi="仿宋_GB2312" w:eastAsia="仿宋_GB2312" w:cs="仿宋_GB2312"/>
          <w:sz w:val="32"/>
          <w:szCs w:val="32"/>
        </w:rPr>
        <w:t>自然资源局核定应缴调节金数额，从成交价款中提取调节金，进行代扣代缴。</w:t>
      </w:r>
    </w:p>
    <w:p>
      <w:pPr>
        <w:pageBreakBefore w:val="0"/>
        <w:kinsoku/>
        <w:wordWrap/>
        <w:overflowPunct/>
        <w:topLinePunct w:val="0"/>
        <w:autoSpaceDE/>
        <w:autoSpaceDN/>
        <w:bidi w:val="0"/>
        <w:adjustRightInd/>
        <w:snapToGrid/>
        <w:spacing w:line="58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对租赁入市的，调节金征收实行预缴制。办理租赁入市手续时，按起始租赁金总额核定应缴调节金额，由竞买人以竟买保证金的形式缴入</w:t>
      </w:r>
      <w:r>
        <w:rPr>
          <w:rFonts w:hint="eastAsia" w:ascii="仿宋_GB2312" w:hAnsi="仿宋_GB2312" w:eastAsia="仿宋_GB2312" w:cs="仿宋_GB2312"/>
          <w:sz w:val="32"/>
          <w:szCs w:val="32"/>
          <w:lang w:eastAsia="zh-CN"/>
        </w:rPr>
        <w:t>县</w:t>
      </w:r>
      <w:r>
        <w:rPr>
          <w:rFonts w:hint="eastAsia" w:ascii="仿宋_GB2312" w:hAnsi="仿宋_GB2312" w:eastAsia="仿宋_GB2312" w:cs="仿宋_GB2312"/>
          <w:sz w:val="32"/>
          <w:szCs w:val="32"/>
        </w:rPr>
        <w:t>财政局指定账户，土地成交并签订入市合同后，保证金转为调节金，成交价高于起始价的，需补齐应缴调节金额。</w:t>
      </w:r>
    </w:p>
    <w:p>
      <w:pPr>
        <w:pageBreakBefore w:val="0"/>
        <w:kinsoku/>
        <w:wordWrap/>
        <w:overflowPunct/>
        <w:topLinePunct w:val="0"/>
        <w:autoSpaceDE/>
        <w:autoSpaceDN/>
        <w:bidi w:val="0"/>
        <w:adjustRightInd/>
        <w:snapToGrid/>
        <w:spacing w:line="600" w:lineRule="exact"/>
        <w:ind w:firstLine="562"/>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第十九条</w:t>
      </w:r>
      <w:r>
        <w:rPr>
          <w:rFonts w:hint="eastAsia" w:ascii="仿宋_GB2312" w:hAnsi="仿宋_GB2312" w:eastAsia="仿宋_GB2312" w:cs="仿宋_GB2312"/>
          <w:sz w:val="32"/>
          <w:szCs w:val="32"/>
        </w:rPr>
        <w:t xml:space="preserve"> 土地增值收益调节金主要统筹用于城镇和农村基础设施完善、农村环境整治、支持乡村振兴等支出。土地增值收益调节金按照政府非税收入管理，资金全额上缴</w:t>
      </w:r>
      <w:r>
        <w:rPr>
          <w:rFonts w:hint="eastAsia" w:ascii="仿宋_GB2312" w:hAnsi="仿宋_GB2312" w:eastAsia="仿宋_GB2312" w:cs="仿宋_GB2312"/>
          <w:sz w:val="32"/>
          <w:szCs w:val="32"/>
          <w:lang w:eastAsia="zh-CN"/>
        </w:rPr>
        <w:t>县</w:t>
      </w:r>
      <w:r>
        <w:rPr>
          <w:rFonts w:hint="eastAsia" w:ascii="仿宋_GB2312" w:hAnsi="仿宋_GB2312" w:eastAsia="仿宋_GB2312" w:cs="仿宋_GB2312"/>
          <w:sz w:val="32"/>
          <w:szCs w:val="32"/>
        </w:rPr>
        <w:t>财政，实行收支两条线管理。</w:t>
      </w:r>
    </w:p>
    <w:p>
      <w:pPr>
        <w:pageBreakBefore w:val="0"/>
        <w:kinsoku/>
        <w:wordWrap/>
        <w:overflowPunct/>
        <w:topLinePunct w:val="0"/>
        <w:autoSpaceDE/>
        <w:autoSpaceDN/>
        <w:bidi w:val="0"/>
        <w:adjustRightInd/>
        <w:snapToGrid/>
        <w:spacing w:line="600" w:lineRule="exact"/>
        <w:ind w:firstLine="562"/>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第二十条</w:t>
      </w:r>
      <w:r>
        <w:rPr>
          <w:rFonts w:hint="eastAsia" w:ascii="仿宋_GB2312" w:hAnsi="仿宋_GB2312" w:eastAsia="仿宋_GB2312" w:cs="仿宋_GB2312"/>
          <w:sz w:val="32"/>
          <w:szCs w:val="32"/>
        </w:rPr>
        <w:t xml:space="preserve"> 农村集体经营性建设用地入市，土地所有权人应承担相应的土地开发成本，入市前达到使用条件。</w:t>
      </w:r>
    </w:p>
    <w:p>
      <w:pPr>
        <w:pageBreakBefore w:val="0"/>
        <w:kinsoku/>
        <w:wordWrap/>
        <w:overflowPunct/>
        <w:topLinePunct w:val="0"/>
        <w:autoSpaceDE/>
        <w:autoSpaceDN/>
        <w:bidi w:val="0"/>
        <w:adjustRightInd/>
        <w:snapToGrid/>
        <w:spacing w:line="600" w:lineRule="exact"/>
        <w:ind w:firstLine="562"/>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第二十一条</w:t>
      </w:r>
      <w:r>
        <w:rPr>
          <w:rFonts w:hint="eastAsia" w:ascii="仿宋_GB2312" w:hAnsi="仿宋_GB2312" w:eastAsia="仿宋_GB2312" w:cs="仿宋_GB2312"/>
          <w:sz w:val="32"/>
          <w:szCs w:val="32"/>
        </w:rPr>
        <w:t xml:space="preserve"> 农民集体入市收益应先行支付通水、通电、通路、土地平整等土地开发成本，参照征收土地区片价向群众支付土地补偿款，剩余部分用于村集体经济发展公共设施完善、提高成员生活质量水平。</w:t>
      </w:r>
    </w:p>
    <w:p>
      <w:pPr>
        <w:pageBreakBefore w:val="0"/>
        <w:kinsoku/>
        <w:wordWrap/>
        <w:overflowPunct/>
        <w:topLinePunct w:val="0"/>
        <w:autoSpaceDE/>
        <w:autoSpaceDN/>
        <w:bidi w:val="0"/>
        <w:adjustRightInd/>
        <w:snapToGrid/>
        <w:spacing w:line="600" w:lineRule="exact"/>
        <w:ind w:firstLine="562"/>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第二十二条</w:t>
      </w:r>
      <w:r>
        <w:rPr>
          <w:rFonts w:hint="eastAsia" w:ascii="仿宋_GB2312" w:hAnsi="仿宋_GB2312" w:eastAsia="仿宋_GB2312" w:cs="仿宋_GB2312"/>
          <w:sz w:val="32"/>
          <w:szCs w:val="32"/>
        </w:rPr>
        <w:t xml:space="preserve"> 有关部门对土地增值收益调节金和农民集体入市收益分配使用进行全过程、全方位监管，确保按规定用途使用，防止截流、侵占和挪用。</w:t>
      </w:r>
    </w:p>
    <w:p>
      <w:pPr>
        <w:pageBreakBefore w:val="0"/>
        <w:kinsoku/>
        <w:wordWrap/>
        <w:overflowPunct/>
        <w:topLinePunct w:val="0"/>
        <w:autoSpaceDE/>
        <w:autoSpaceDN/>
        <w:bidi w:val="0"/>
        <w:adjustRightInd/>
        <w:snapToGrid/>
        <w:spacing w:line="600" w:lineRule="exact"/>
        <w:ind w:firstLine="562"/>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第二十三条</w:t>
      </w:r>
      <w:r>
        <w:rPr>
          <w:rFonts w:hint="eastAsia" w:ascii="仿宋_GB2312" w:hAnsi="仿宋_GB2312" w:eastAsia="仿宋_GB2312" w:cs="仿宋_GB2312"/>
          <w:sz w:val="32"/>
          <w:szCs w:val="32"/>
        </w:rPr>
        <w:t xml:space="preserve"> 农村集体经营性建设用地使用权入市，应当依法缴纳有关税费，推进集体与国有建设用地统一的税收标准制度。</w:t>
      </w:r>
    </w:p>
    <w:p>
      <w:pPr>
        <w:pStyle w:val="2"/>
        <w:pageBreakBefore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p>
    <w:p>
      <w:pPr>
        <w:pStyle w:val="3"/>
        <w:pageBreakBefore w:val="0"/>
        <w:numPr>
          <w:ilvl w:val="0"/>
          <w:numId w:val="2"/>
        </w:numPr>
        <w:kinsoku/>
        <w:wordWrap/>
        <w:overflowPunct/>
        <w:topLinePunct w:val="0"/>
        <w:autoSpaceDE/>
        <w:autoSpaceDN/>
        <w:bidi w:val="0"/>
        <w:adjustRightInd/>
        <w:snapToGrid/>
        <w:spacing w:line="600" w:lineRule="exact"/>
        <w:jc w:val="center"/>
        <w:textAlignment w:val="auto"/>
        <w:rPr>
          <w:rFonts w:hint="eastAsia" w:ascii="黑体" w:hAnsi="黑体" w:eastAsia="黑体" w:cs="黑体"/>
          <w:b w:val="0"/>
          <w:bCs/>
          <w:sz w:val="32"/>
          <w:szCs w:val="32"/>
        </w:rPr>
      </w:pPr>
      <w:r>
        <w:rPr>
          <w:rFonts w:hint="eastAsia" w:ascii="黑体" w:hAnsi="黑体" w:eastAsia="黑体" w:cs="黑体"/>
          <w:b w:val="0"/>
          <w:bCs/>
          <w:sz w:val="32"/>
          <w:szCs w:val="32"/>
        </w:rPr>
        <w:t>开发利用和监管</w:t>
      </w:r>
    </w:p>
    <w:p>
      <w:pPr>
        <w:pageBreakBefore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p>
    <w:p>
      <w:pPr>
        <w:pageBreakBefore w:val="0"/>
        <w:kinsoku/>
        <w:wordWrap/>
        <w:overflowPunct/>
        <w:topLinePunct w:val="0"/>
        <w:autoSpaceDE/>
        <w:autoSpaceDN/>
        <w:bidi w:val="0"/>
        <w:adjustRightInd/>
        <w:snapToGrid/>
        <w:spacing w:line="600" w:lineRule="exact"/>
        <w:ind w:firstLine="562"/>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第二十四条</w:t>
      </w:r>
      <w:r>
        <w:rPr>
          <w:rFonts w:hint="eastAsia" w:ascii="仿宋_GB2312" w:hAnsi="仿宋_GB2312" w:eastAsia="仿宋_GB2312" w:cs="仿宋_GB2312"/>
          <w:sz w:val="32"/>
          <w:szCs w:val="32"/>
        </w:rPr>
        <w:t xml:space="preserve"> 土地使用权人应严格按照国土空间等规划确定的用途使用土地，严禁擅自改变规划条件、违反产业准入和生态环境保护等要求。经依法批准改变土地用途等的，需重新签订合同或补充合同，补缴土地价款、土地增值收益调节金及相关税费。</w:t>
      </w:r>
    </w:p>
    <w:p>
      <w:pPr>
        <w:pageBreakBefore w:val="0"/>
        <w:kinsoku/>
        <w:wordWrap/>
        <w:overflowPunct/>
        <w:topLinePunct w:val="0"/>
        <w:autoSpaceDE/>
        <w:autoSpaceDN/>
        <w:bidi w:val="0"/>
        <w:adjustRightInd/>
        <w:snapToGrid/>
        <w:spacing w:line="600" w:lineRule="exact"/>
        <w:ind w:firstLine="562"/>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第二十五条</w:t>
      </w:r>
      <w:r>
        <w:rPr>
          <w:rFonts w:hint="eastAsia" w:ascii="仿宋_GB2312" w:hAnsi="仿宋_GB2312" w:eastAsia="仿宋_GB2312" w:cs="仿宋_GB2312"/>
          <w:sz w:val="32"/>
          <w:szCs w:val="32"/>
        </w:rPr>
        <w:t xml:space="preserve"> 农村集体经济组织不得违反约定提前收回集体经营性建设用地使用权，有下列情形之一的，农村集体经济组织应报经原批准用地的人民政府批准，可以提前收回土地使用权:</w:t>
      </w:r>
    </w:p>
    <w:p>
      <w:pPr>
        <w:pageBreakBefore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pacing w:val="-6"/>
          <w:sz w:val="32"/>
          <w:szCs w:val="32"/>
        </w:rPr>
      </w:pPr>
      <w:r>
        <w:rPr>
          <w:rFonts w:hint="eastAsia" w:ascii="仿宋_GB2312" w:hAnsi="仿宋_GB2312" w:eastAsia="仿宋_GB2312" w:cs="仿宋_GB2312"/>
          <w:spacing w:val="-6"/>
          <w:sz w:val="32"/>
          <w:szCs w:val="32"/>
          <w:lang w:eastAsia="zh-CN"/>
        </w:rPr>
        <w:t>（一）</w:t>
      </w:r>
      <w:r>
        <w:rPr>
          <w:rFonts w:hint="eastAsia" w:ascii="仿宋_GB2312" w:hAnsi="仿宋_GB2312" w:eastAsia="仿宋_GB2312" w:cs="仿宋_GB2312"/>
          <w:spacing w:val="-6"/>
          <w:sz w:val="32"/>
          <w:szCs w:val="32"/>
        </w:rPr>
        <w:t>为乡</w:t>
      </w:r>
      <w:r>
        <w:rPr>
          <w:rFonts w:hint="eastAsia" w:ascii="仿宋_GB2312" w:hAnsi="仿宋_GB2312" w:eastAsia="仿宋_GB2312" w:cs="仿宋_GB2312"/>
          <w:sz w:val="32"/>
          <w:szCs w:val="32"/>
        </w:rPr>
        <w:t>镇</w:t>
      </w:r>
      <w:r>
        <w:rPr>
          <w:rFonts w:hint="eastAsia" w:ascii="仿宋_GB2312" w:hAnsi="仿宋_GB2312" w:eastAsia="仿宋_GB2312" w:cs="仿宋_GB2312"/>
          <w:sz w:val="32"/>
          <w:szCs w:val="32"/>
          <w:lang w:eastAsia="zh-CN"/>
        </w:rPr>
        <w:t>（街道）</w:t>
      </w:r>
      <w:r>
        <w:rPr>
          <w:rFonts w:hint="eastAsia" w:ascii="仿宋_GB2312" w:hAnsi="仿宋_GB2312" w:eastAsia="仿宋_GB2312" w:cs="仿宋_GB2312"/>
          <w:spacing w:val="-6"/>
          <w:sz w:val="32"/>
          <w:szCs w:val="32"/>
        </w:rPr>
        <w:t>村公共设施和公益事业建设，需要使用土地的;</w:t>
      </w:r>
    </w:p>
    <w:p>
      <w:pPr>
        <w:pageBreakBefore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（二）</w:t>
      </w:r>
      <w:r>
        <w:rPr>
          <w:rFonts w:hint="eastAsia" w:ascii="仿宋_GB2312" w:hAnsi="仿宋_GB2312" w:eastAsia="仿宋_GB2312" w:cs="仿宋_GB2312"/>
          <w:sz w:val="32"/>
          <w:szCs w:val="32"/>
        </w:rPr>
        <w:t>不按照批准的用途使用土地的;</w:t>
      </w:r>
    </w:p>
    <w:p>
      <w:pPr>
        <w:pageBreakBefore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（三）</w:t>
      </w:r>
      <w:r>
        <w:rPr>
          <w:rFonts w:hint="eastAsia" w:ascii="仿宋_GB2312" w:hAnsi="仿宋_GB2312" w:eastAsia="仿宋_GB2312" w:cs="仿宋_GB2312"/>
          <w:sz w:val="32"/>
          <w:szCs w:val="32"/>
        </w:rPr>
        <w:t>因撤销、迁移等原因而停止使用土地的;</w:t>
      </w:r>
    </w:p>
    <w:p>
      <w:pPr>
        <w:pageBreakBefore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依照前款第</w:t>
      </w:r>
      <w:r>
        <w:rPr>
          <w:rFonts w:hint="eastAsia" w:ascii="仿宋_GB2312" w:hAnsi="仿宋_GB2312" w:eastAsia="仿宋_GB2312" w:cs="仿宋_GB2312"/>
          <w:sz w:val="32"/>
          <w:szCs w:val="32"/>
          <w:lang w:val="en-US" w:eastAsia="zh-CN"/>
        </w:rPr>
        <w:t>一</w:t>
      </w:r>
      <w:r>
        <w:rPr>
          <w:rFonts w:hint="eastAsia" w:ascii="仿宋_GB2312" w:hAnsi="仿宋_GB2312" w:eastAsia="仿宋_GB2312" w:cs="仿宋_GB2312"/>
          <w:sz w:val="32"/>
          <w:szCs w:val="32"/>
        </w:rPr>
        <w:t>项规定收回农民集体所有的土地的，农村集体经济组织应当对土地使用权人给予适当补偿。</w:t>
      </w:r>
    </w:p>
    <w:p>
      <w:pPr>
        <w:pageBreakBefore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到期收回集体经营性建设用地使用权的，依照双方签订的书面合同办理，法律、行政法规另有规定的除外。对于闲置农村集体经营性建设用地的调查、认定和处置，参照《闲置土地处置办法》（国土资源部令第53号）规定执行。</w:t>
      </w:r>
    </w:p>
    <w:p>
      <w:pPr>
        <w:pStyle w:val="2"/>
        <w:pageBreakBefore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kern w:val="2"/>
          <w:sz w:val="32"/>
          <w:szCs w:val="32"/>
        </w:rPr>
      </w:pPr>
    </w:p>
    <w:p>
      <w:pPr>
        <w:pStyle w:val="3"/>
        <w:pageBreakBefore w:val="0"/>
        <w:numPr>
          <w:ilvl w:val="0"/>
          <w:numId w:val="2"/>
        </w:numPr>
        <w:kinsoku/>
        <w:wordWrap/>
        <w:overflowPunct/>
        <w:topLinePunct w:val="0"/>
        <w:autoSpaceDE/>
        <w:autoSpaceDN/>
        <w:bidi w:val="0"/>
        <w:adjustRightInd/>
        <w:snapToGrid/>
        <w:spacing w:line="600" w:lineRule="exact"/>
        <w:jc w:val="center"/>
        <w:textAlignment w:val="auto"/>
        <w:rPr>
          <w:rFonts w:hint="eastAsia" w:ascii="黑体" w:hAnsi="黑体" w:eastAsia="黑体" w:cs="黑体"/>
          <w:b w:val="0"/>
          <w:bCs/>
          <w:sz w:val="32"/>
          <w:szCs w:val="32"/>
        </w:rPr>
      </w:pPr>
      <w:r>
        <w:rPr>
          <w:rFonts w:hint="eastAsia" w:ascii="黑体" w:hAnsi="黑体" w:eastAsia="黑体" w:cs="黑体"/>
          <w:b w:val="0"/>
          <w:bCs/>
          <w:sz w:val="32"/>
          <w:szCs w:val="32"/>
        </w:rPr>
        <w:t>法律责任</w:t>
      </w:r>
    </w:p>
    <w:p>
      <w:pPr>
        <w:pStyle w:val="2"/>
        <w:pageBreakBefore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kern w:val="2"/>
          <w:sz w:val="32"/>
          <w:szCs w:val="32"/>
        </w:rPr>
      </w:pPr>
    </w:p>
    <w:p>
      <w:pPr>
        <w:pageBreakBefore w:val="0"/>
        <w:kinsoku/>
        <w:wordWrap/>
        <w:overflowPunct/>
        <w:topLinePunct w:val="0"/>
        <w:autoSpaceDE/>
        <w:autoSpaceDN/>
        <w:bidi w:val="0"/>
        <w:adjustRightInd/>
        <w:snapToGrid/>
        <w:spacing w:line="600" w:lineRule="exact"/>
        <w:ind w:firstLine="562"/>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第二十六条</w:t>
      </w:r>
      <w:r>
        <w:rPr>
          <w:rFonts w:hint="eastAsia" w:ascii="仿宋_GB2312" w:hAnsi="仿宋_GB2312" w:eastAsia="仿宋_GB2312" w:cs="仿宋_GB2312"/>
          <w:sz w:val="32"/>
          <w:szCs w:val="32"/>
        </w:rPr>
        <w:t xml:space="preserve"> 农村集体经营性建设用地使用权入市违反上级法律法规的规定交易的，相关部门不得为其办理不动产权登记、规划许可、施工许可等手续。</w:t>
      </w:r>
    </w:p>
    <w:p>
      <w:pPr>
        <w:pageBreakBefore w:val="0"/>
        <w:kinsoku/>
        <w:wordWrap/>
        <w:overflowPunct/>
        <w:topLinePunct w:val="0"/>
        <w:autoSpaceDE/>
        <w:autoSpaceDN/>
        <w:bidi w:val="0"/>
        <w:adjustRightInd/>
        <w:snapToGrid/>
        <w:spacing w:line="600" w:lineRule="exact"/>
        <w:ind w:firstLine="562"/>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第二十七条</w:t>
      </w:r>
      <w:r>
        <w:rPr>
          <w:rFonts w:hint="eastAsia" w:ascii="仿宋_GB2312" w:hAnsi="仿宋_GB2312" w:eastAsia="仿宋_GB2312" w:cs="仿宋_GB2312"/>
          <w:sz w:val="32"/>
          <w:szCs w:val="32"/>
        </w:rPr>
        <w:t xml:space="preserve"> 国家工作人员在农村集体经营性建设用地入市过程中存在玩忽职守、滥用职权、徇私舞弊、弄虚作假等行为，造成集体资产流失的，由所在单位或者上级机关给予行政处分；构成犯罪的，依法移送司法机关追究刑事责任。</w:t>
      </w:r>
    </w:p>
    <w:p>
      <w:pPr>
        <w:pageBreakBefore w:val="0"/>
        <w:kinsoku/>
        <w:wordWrap/>
        <w:overflowPunct/>
        <w:topLinePunct w:val="0"/>
        <w:autoSpaceDE/>
        <w:autoSpaceDN/>
        <w:bidi w:val="0"/>
        <w:adjustRightInd/>
        <w:snapToGrid/>
        <w:spacing w:line="600" w:lineRule="exact"/>
        <w:ind w:firstLine="562"/>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第二十八条</w:t>
      </w:r>
      <w:r>
        <w:rPr>
          <w:rFonts w:hint="eastAsia" w:ascii="仿宋_GB2312" w:hAnsi="仿宋_GB2312" w:eastAsia="仿宋_GB2312" w:cs="仿宋_GB2312"/>
          <w:sz w:val="32"/>
          <w:szCs w:val="32"/>
        </w:rPr>
        <w:t xml:space="preserve"> 农村集体经济组织经营管理者，在集体经营性建设用地入市过程中存在玩忽职守、滥用职权、徇私舞弊、弄虚作假等行为或者擅自侵占、挪用农村集体经营性建设用地入市收益，由所在单位或者上级机关给予行政处分；构成犯罪的，依法移送司法机关追究刑事责任。</w:t>
      </w:r>
    </w:p>
    <w:p>
      <w:pPr>
        <w:pStyle w:val="2"/>
        <w:pageBreakBefore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kern w:val="2"/>
          <w:sz w:val="32"/>
          <w:szCs w:val="32"/>
        </w:rPr>
      </w:pPr>
    </w:p>
    <w:p>
      <w:pPr>
        <w:pStyle w:val="3"/>
        <w:pageBreakBefore w:val="0"/>
        <w:numPr>
          <w:ilvl w:val="0"/>
          <w:numId w:val="2"/>
        </w:numPr>
        <w:kinsoku/>
        <w:wordWrap/>
        <w:overflowPunct/>
        <w:topLinePunct w:val="0"/>
        <w:autoSpaceDE/>
        <w:autoSpaceDN/>
        <w:bidi w:val="0"/>
        <w:adjustRightInd/>
        <w:snapToGrid/>
        <w:spacing w:line="600" w:lineRule="exact"/>
        <w:jc w:val="center"/>
        <w:textAlignment w:val="auto"/>
        <w:rPr>
          <w:rFonts w:hint="eastAsia" w:ascii="黑体" w:hAnsi="黑体" w:eastAsia="黑体" w:cs="黑体"/>
          <w:b w:val="0"/>
          <w:bCs/>
          <w:sz w:val="32"/>
          <w:szCs w:val="32"/>
        </w:rPr>
      </w:pPr>
      <w:r>
        <w:rPr>
          <w:rFonts w:hint="eastAsia" w:ascii="黑体" w:hAnsi="黑体" w:eastAsia="黑体" w:cs="黑体"/>
          <w:b w:val="0"/>
          <w:bCs/>
          <w:sz w:val="32"/>
          <w:szCs w:val="32"/>
        </w:rPr>
        <w:t>附则</w:t>
      </w:r>
    </w:p>
    <w:p>
      <w:pPr>
        <w:pageBreakBefore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p>
    <w:p>
      <w:pPr>
        <w:pageBreakBefore w:val="0"/>
        <w:kinsoku/>
        <w:wordWrap/>
        <w:overflowPunct/>
        <w:topLinePunct w:val="0"/>
        <w:autoSpaceDE/>
        <w:autoSpaceDN/>
        <w:bidi w:val="0"/>
        <w:adjustRightInd/>
        <w:snapToGrid/>
        <w:spacing w:line="600" w:lineRule="exact"/>
        <w:ind w:firstLine="562"/>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第二十九条</w:t>
      </w:r>
      <w:r>
        <w:rPr>
          <w:rFonts w:hint="eastAsia" w:ascii="仿宋_GB2312" w:hAnsi="仿宋_GB2312" w:eastAsia="仿宋_GB2312" w:cs="仿宋_GB2312"/>
          <w:sz w:val="32"/>
          <w:szCs w:val="32"/>
        </w:rPr>
        <w:t xml:space="preserve"> 本办法自发布之日起实施。</w:t>
      </w:r>
    </w:p>
    <w:p>
      <w:pPr>
        <w:pageBreakBefore w:val="0"/>
        <w:kinsoku/>
        <w:wordWrap/>
        <w:overflowPunct/>
        <w:topLinePunct w:val="0"/>
        <w:autoSpaceDE/>
        <w:autoSpaceDN/>
        <w:bidi w:val="0"/>
        <w:adjustRightInd/>
        <w:snapToGrid/>
        <w:spacing w:line="600" w:lineRule="exact"/>
        <w:ind w:firstLine="562"/>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第三十条</w:t>
      </w:r>
      <w:r>
        <w:rPr>
          <w:rFonts w:hint="eastAsia" w:ascii="仿宋_GB2312" w:hAnsi="仿宋_GB2312" w:eastAsia="仿宋_GB2312" w:cs="仿宋_GB2312"/>
          <w:sz w:val="32"/>
          <w:szCs w:val="32"/>
        </w:rPr>
        <w:t xml:space="preserve"> 本办法最终解释权由</w:t>
      </w:r>
      <w:r>
        <w:rPr>
          <w:rFonts w:hint="eastAsia" w:ascii="仿宋_GB2312" w:hAnsi="仿宋_GB2312" w:eastAsia="仿宋_GB2312" w:cs="仿宋_GB2312"/>
          <w:sz w:val="32"/>
          <w:szCs w:val="32"/>
          <w:lang w:eastAsia="zh-CN"/>
        </w:rPr>
        <w:t>县</w:t>
      </w:r>
      <w:r>
        <w:rPr>
          <w:rFonts w:hint="eastAsia" w:ascii="仿宋_GB2312" w:hAnsi="仿宋_GB2312" w:eastAsia="仿宋_GB2312" w:cs="仿宋_GB2312"/>
          <w:sz w:val="32"/>
          <w:szCs w:val="32"/>
        </w:rPr>
        <w:t>政府所有。</w:t>
      </w:r>
    </w:p>
    <w:p>
      <w:pPr>
        <w:pStyle w:val="2"/>
        <w:rPr>
          <w:rFonts w:cs="Times New Roman" w:eastAsiaTheme="minorEastAsia"/>
          <w:kern w:val="2"/>
          <w:sz w:val="28"/>
          <w:szCs w:val="24"/>
        </w:rPr>
      </w:pPr>
    </w:p>
    <w:sectPr>
      <w:headerReference r:id="rId7" w:type="first"/>
      <w:footerReference r:id="rId10" w:type="first"/>
      <w:headerReference r:id="rId5" w:type="default"/>
      <w:footerReference r:id="rId8" w:type="default"/>
      <w:headerReference r:id="rId6" w:type="even"/>
      <w:footerReference r:id="rId9" w:type="even"/>
      <w:pgSz w:w="11906" w:h="16838"/>
      <w:pgMar w:top="1701" w:right="1701" w:bottom="1701" w:left="1701" w:header="851" w:footer="992" w:gutter="0"/>
      <w:pgNumType w:fmt="numberInDash"/>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560"/>
      </w:pPr>
      <w:r>
        <w:separator/>
      </w:r>
    </w:p>
  </w:endnote>
  <w:endnote w:type="continuationSeparator" w:id="1">
    <w:p>
      <w:pPr>
        <w:spacing w:line="240" w:lineRule="auto"/>
        <w:ind w:firstLine="56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
    <w:altName w:val="方正仿宋_GBK"/>
    <w:panose1 w:val="02010609060101010101"/>
    <w:charset w:val="86"/>
    <w:family w:val="modern"/>
    <w:pitch w:val="default"/>
    <w:sig w:usb0="00000000" w:usb1="00000000" w:usb2="00000016" w:usb3="00000000" w:csb0="00040001" w:csb1="00000000"/>
  </w:font>
  <w:font w:name="楷体">
    <w:altName w:val="方正楷体_GBK"/>
    <w:panose1 w:val="02010609060101010101"/>
    <w:charset w:val="86"/>
    <w:family w:val="modern"/>
    <w:pitch w:val="default"/>
    <w:sig w:usb0="00000000" w:usb1="00000000" w:usb2="00000016" w:usb3="00000000" w:csb0="00040001"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auto"/>
    <w:pitch w:val="default"/>
    <w:sig w:usb0="00000001" w:usb1="080E0000" w:usb2="00000000" w:usb3="00000000" w:csb0="00040000" w:csb1="00000000"/>
  </w:font>
  <w:font w:name="楷体_GB2312">
    <w:altName w:val="方正楷体_GBK"/>
    <w:panose1 w:val="02010609030101010101"/>
    <w:charset w:val="86"/>
    <w:family w:val="auto"/>
    <w:pitch w:val="default"/>
    <w:sig w:usb0="00000000" w:usb1="00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firstLine="360"/>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7"/>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1</w:t>
                          </w:r>
                          <w:r>
                            <w:rPr>
                              <w:rFonts w:hint="eastAsia" w:ascii="仿宋_GB2312" w:hAnsi="仿宋_GB2312" w:eastAsia="仿宋_GB2312" w:cs="仿宋_GB2312"/>
                              <w:sz w:val="28"/>
                              <w:szCs w:val="28"/>
                            </w:rPr>
                            <w:fldChar w:fldCharType="end"/>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FgAAAGRycy9QSwECFAAUAAAACACH&#10;TuJAs0lY7tAAAAAFAQAADwAAAAAAAAABACAAAAA4AAAAZHJzL2Rvd25yZXYueG1sUEsBAhQAFAAA&#10;AAgAh07iQCYa0m4aAgAAKQQAAA4AAAAAAAAAAQAgAAAANQEAAGRycy9lMm9Eb2MueG1sUEsFBgAA&#10;AAAGAAYAWQEAAMEFAAAAAA==&#10;">
              <v:fill on="f" focussize="0,0"/>
              <v:stroke on="f" weight="0.5pt"/>
              <v:imagedata o:title=""/>
              <o:lock v:ext="edit" aspectratio="f"/>
              <v:textbox inset="0mm,0mm,0mm,0mm" style="mso-fit-shape-to-text:t;">
                <w:txbxContent>
                  <w:p>
                    <w:pPr>
                      <w:pStyle w:val="7"/>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1</w:t>
                    </w:r>
                    <w:r>
                      <w:rPr>
                        <w:rFonts w:hint="eastAsia" w:ascii="仿宋_GB2312" w:hAnsi="仿宋_GB2312" w:eastAsia="仿宋_GB2312" w:cs="仿宋_GB2312"/>
                        <w:sz w:val="28"/>
                        <w:szCs w:val="2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560"/>
      </w:pPr>
      <w:r>
        <w:separator/>
      </w:r>
    </w:p>
  </w:footnote>
  <w:footnote w:type="continuationSeparator" w:id="1">
    <w:p>
      <w:pPr>
        <w:spacing w:line="240" w:lineRule="auto"/>
        <w:ind w:firstLine="56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D00E7EE"/>
    <w:multiLevelType w:val="singleLevel"/>
    <w:tmpl w:val="3D00E7EE"/>
    <w:lvl w:ilvl="0" w:tentative="0">
      <w:start w:val="1"/>
      <w:numFmt w:val="chineseCounting"/>
      <w:suff w:val="space"/>
      <w:lvlText w:val="第%1章"/>
      <w:lvlJc w:val="left"/>
      <w:rPr>
        <w:rFonts w:hint="eastAsia"/>
      </w:rPr>
    </w:lvl>
  </w:abstractNum>
  <w:abstractNum w:abstractNumId="1">
    <w:nsid w:val="432EA552"/>
    <w:multiLevelType w:val="multilevel"/>
    <w:tmpl w:val="432EA552"/>
    <w:lvl w:ilvl="0" w:tentative="0">
      <w:start w:val="1"/>
      <w:numFmt w:val="none"/>
      <w:suff w:val="nothing"/>
      <w:lvlText w:val="%1"/>
      <w:lvlJc w:val="left"/>
      <w:pPr>
        <w:ind w:left="0" w:firstLine="0"/>
      </w:pPr>
      <w:rPr>
        <w:rFonts w:hint="eastAsia"/>
      </w:rPr>
    </w:lvl>
    <w:lvl w:ilvl="1" w:tentative="0">
      <w:start w:val="1"/>
      <w:numFmt w:val="chineseCountingThousand"/>
      <w:lvlRestart w:val="0"/>
      <w:pStyle w:val="14"/>
      <w:suff w:val="space"/>
      <w:lvlText w:val="第%2条"/>
      <w:lvlJc w:val="left"/>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C062C"/>
    <w:rsid w:val="000F469E"/>
    <w:rsid w:val="00205ED9"/>
    <w:rsid w:val="002A6BB0"/>
    <w:rsid w:val="00326916"/>
    <w:rsid w:val="003B515A"/>
    <w:rsid w:val="00495CBA"/>
    <w:rsid w:val="00514412"/>
    <w:rsid w:val="005F2129"/>
    <w:rsid w:val="00606FFF"/>
    <w:rsid w:val="006C475C"/>
    <w:rsid w:val="006E1C53"/>
    <w:rsid w:val="0079792E"/>
    <w:rsid w:val="00874921"/>
    <w:rsid w:val="00935B83"/>
    <w:rsid w:val="009F7E5C"/>
    <w:rsid w:val="00A06CB9"/>
    <w:rsid w:val="00A24824"/>
    <w:rsid w:val="00A43B3B"/>
    <w:rsid w:val="00AC062C"/>
    <w:rsid w:val="00AC5746"/>
    <w:rsid w:val="00AE7A5E"/>
    <w:rsid w:val="00B0646B"/>
    <w:rsid w:val="00B649E6"/>
    <w:rsid w:val="00C016B0"/>
    <w:rsid w:val="00CE5292"/>
    <w:rsid w:val="00DD694A"/>
    <w:rsid w:val="00E30F5D"/>
    <w:rsid w:val="00F06841"/>
    <w:rsid w:val="01786D1A"/>
    <w:rsid w:val="01793C80"/>
    <w:rsid w:val="0A7766AB"/>
    <w:rsid w:val="0B0A0E43"/>
    <w:rsid w:val="0B5F2B6D"/>
    <w:rsid w:val="1468482E"/>
    <w:rsid w:val="151406FC"/>
    <w:rsid w:val="18E72E9C"/>
    <w:rsid w:val="1B745927"/>
    <w:rsid w:val="23B91F00"/>
    <w:rsid w:val="24894380"/>
    <w:rsid w:val="25C01492"/>
    <w:rsid w:val="2F331E85"/>
    <w:rsid w:val="32320D9C"/>
    <w:rsid w:val="328F5744"/>
    <w:rsid w:val="382D21B7"/>
    <w:rsid w:val="387F79D7"/>
    <w:rsid w:val="3BD67DCE"/>
    <w:rsid w:val="42272620"/>
    <w:rsid w:val="44DA5705"/>
    <w:rsid w:val="455266B9"/>
    <w:rsid w:val="46551AE7"/>
    <w:rsid w:val="46791427"/>
    <w:rsid w:val="46C81412"/>
    <w:rsid w:val="47180782"/>
    <w:rsid w:val="4B7919E0"/>
    <w:rsid w:val="4CC62B8A"/>
    <w:rsid w:val="50AA3F1E"/>
    <w:rsid w:val="5A632A69"/>
    <w:rsid w:val="5B5E57AC"/>
    <w:rsid w:val="60651B2D"/>
    <w:rsid w:val="62126335"/>
    <w:rsid w:val="63DB5069"/>
    <w:rsid w:val="67DB043B"/>
    <w:rsid w:val="6B4B61B1"/>
    <w:rsid w:val="6CCF71A6"/>
    <w:rsid w:val="77996839"/>
    <w:rsid w:val="785C40CB"/>
    <w:rsid w:val="79A7630E"/>
    <w:rsid w:val="7E5E7A08"/>
    <w:rsid w:val="FAF3ABA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ind w:firstLine="560" w:firstLineChars="200"/>
      <w:jc w:val="both"/>
    </w:pPr>
    <w:rPr>
      <w:rFonts w:ascii="Times New Roman" w:hAnsi="Times New Roman" w:eastAsia="仿宋" w:cs="Times New Roman"/>
      <w:kern w:val="2"/>
      <w:sz w:val="28"/>
      <w:szCs w:val="24"/>
      <w:lang w:val="en-US" w:eastAsia="zh-CN" w:bidi="ar-SA"/>
    </w:rPr>
  </w:style>
  <w:style w:type="paragraph" w:styleId="3">
    <w:name w:val="heading 1"/>
    <w:next w:val="1"/>
    <w:link w:val="13"/>
    <w:qFormat/>
    <w:uiPriority w:val="0"/>
    <w:pPr>
      <w:keepNext/>
      <w:keepLines/>
      <w:spacing w:line="360" w:lineRule="auto"/>
      <w:outlineLvl w:val="0"/>
    </w:pPr>
    <w:rPr>
      <w:rFonts w:ascii="Times New Roman" w:hAnsi="Times New Roman" w:eastAsia="黑体" w:cstheme="minorBidi"/>
      <w:b/>
      <w:kern w:val="44"/>
      <w:sz w:val="32"/>
      <w:lang w:val="en-US" w:eastAsia="zh-CN" w:bidi="ar-SA"/>
    </w:rPr>
  </w:style>
  <w:style w:type="paragraph" w:styleId="4">
    <w:name w:val="heading 2"/>
    <w:next w:val="1"/>
    <w:link w:val="17"/>
    <w:semiHidden/>
    <w:unhideWhenUsed/>
    <w:qFormat/>
    <w:uiPriority w:val="0"/>
    <w:pPr>
      <w:keepNext/>
      <w:keepLines/>
      <w:spacing w:line="360" w:lineRule="auto"/>
      <w:outlineLvl w:val="1"/>
    </w:pPr>
    <w:rPr>
      <w:rFonts w:ascii="Times New Roman" w:hAnsi="Times New Roman" w:eastAsia="楷体" w:cstheme="minorBidi"/>
      <w:b/>
      <w:bCs/>
      <w:sz w:val="30"/>
      <w:szCs w:val="30"/>
      <w:lang w:val="en-US" w:eastAsia="zh-CN" w:bidi="ar-SA"/>
    </w:rPr>
  </w:style>
  <w:style w:type="paragraph" w:styleId="5">
    <w:name w:val="heading 3"/>
    <w:basedOn w:val="1"/>
    <w:next w:val="1"/>
    <w:link w:val="12"/>
    <w:semiHidden/>
    <w:unhideWhenUsed/>
    <w:qFormat/>
    <w:uiPriority w:val="0"/>
    <w:pPr>
      <w:keepNext/>
      <w:keepLines/>
      <w:outlineLvl w:val="2"/>
    </w:pPr>
    <w:rPr>
      <w:rFonts w:cstheme="minorBidi"/>
      <w:b/>
      <w:bCs/>
      <w:szCs w:val="32"/>
    </w:rPr>
  </w:style>
  <w:style w:type="paragraph" w:styleId="6">
    <w:name w:val="heading 4"/>
    <w:next w:val="1"/>
    <w:link w:val="15"/>
    <w:semiHidden/>
    <w:unhideWhenUsed/>
    <w:qFormat/>
    <w:uiPriority w:val="0"/>
    <w:pPr>
      <w:widowControl w:val="0"/>
      <w:spacing w:line="360" w:lineRule="auto"/>
      <w:outlineLvl w:val="3"/>
    </w:pPr>
    <w:rPr>
      <w:rFonts w:hint="eastAsia" w:ascii="Times New Roman" w:hAnsi="Times New Roman" w:eastAsia="宋体" w:cstheme="minorBidi"/>
      <w:bCs/>
      <w:sz w:val="28"/>
      <w:shd w:val="clear" w:color="auto" w:fill="FFFFFF"/>
      <w:lang w:val="en-US" w:eastAsia="zh-CN" w:bidi="ar-SA"/>
    </w:rPr>
  </w:style>
  <w:style w:type="character" w:default="1" w:styleId="10">
    <w:name w:val="Default Paragraph Font"/>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Body Text"/>
    <w:link w:val="16"/>
    <w:qFormat/>
    <w:uiPriority w:val="0"/>
    <w:pPr>
      <w:jc w:val="center"/>
    </w:pPr>
    <w:rPr>
      <w:rFonts w:ascii="Times New Roman" w:hAnsi="Times New Roman" w:eastAsia="宋体" w:cstheme="minorBidi"/>
      <w:sz w:val="21"/>
      <w:szCs w:val="21"/>
      <w:lang w:val="en-US" w:eastAsia="zh-CN" w:bidi="ar-SA"/>
    </w:rPr>
  </w:style>
  <w:style w:type="paragraph" w:styleId="7">
    <w:name w:val="footer"/>
    <w:basedOn w:val="1"/>
    <w:link w:val="19"/>
    <w:qFormat/>
    <w:uiPriority w:val="0"/>
    <w:pPr>
      <w:tabs>
        <w:tab w:val="center" w:pos="4153"/>
        <w:tab w:val="right" w:pos="8306"/>
      </w:tabs>
      <w:snapToGrid w:val="0"/>
      <w:spacing w:line="240" w:lineRule="auto"/>
      <w:jc w:val="left"/>
    </w:pPr>
    <w:rPr>
      <w:sz w:val="18"/>
      <w:szCs w:val="18"/>
    </w:rPr>
  </w:style>
  <w:style w:type="paragraph" w:styleId="8">
    <w:name w:val="header"/>
    <w:basedOn w:val="1"/>
    <w:link w:val="18"/>
    <w:qFormat/>
    <w:uiPriority w:val="0"/>
    <w:pPr>
      <w:tabs>
        <w:tab w:val="center" w:pos="4153"/>
        <w:tab w:val="right" w:pos="8306"/>
      </w:tabs>
      <w:snapToGrid w:val="0"/>
      <w:spacing w:line="240" w:lineRule="auto"/>
      <w:jc w:val="center"/>
    </w:pPr>
    <w:rPr>
      <w:sz w:val="18"/>
      <w:szCs w:val="18"/>
    </w:rPr>
  </w:style>
  <w:style w:type="character" w:customStyle="1" w:styleId="11">
    <w:name w:val="正文 Char"/>
    <w:qFormat/>
    <w:uiPriority w:val="0"/>
    <w:rPr>
      <w:rFonts w:ascii="Times New Roman" w:hAnsi="Times New Roman" w:eastAsia="仿宋" w:cs="Times New Roman"/>
      <w:kern w:val="0"/>
      <w:sz w:val="28"/>
      <w:szCs w:val="22"/>
      <w:lang w:val="en-US" w:eastAsia="zh-CN" w:bidi="ar-SA"/>
    </w:rPr>
  </w:style>
  <w:style w:type="character" w:customStyle="1" w:styleId="12">
    <w:name w:val="标题 3 字符"/>
    <w:basedOn w:val="10"/>
    <w:link w:val="5"/>
    <w:semiHidden/>
    <w:qFormat/>
    <w:uiPriority w:val="9"/>
    <w:rPr>
      <w:rFonts w:ascii="Times New Roman" w:hAnsi="Times New Roman" w:eastAsia="仿宋" w:cstheme="minorBidi"/>
      <w:b/>
      <w:bCs/>
      <w:kern w:val="2"/>
      <w:sz w:val="28"/>
      <w:szCs w:val="32"/>
    </w:rPr>
  </w:style>
  <w:style w:type="character" w:customStyle="1" w:styleId="13">
    <w:name w:val="标题 1 字符"/>
    <w:basedOn w:val="10"/>
    <w:link w:val="3"/>
    <w:qFormat/>
    <w:uiPriority w:val="9"/>
    <w:rPr>
      <w:rFonts w:ascii="Times New Roman" w:hAnsi="Times New Roman" w:eastAsia="黑体" w:cs="Times New Roman"/>
      <w:color w:val="0070C0"/>
      <w:kern w:val="0"/>
      <w:sz w:val="32"/>
      <w:szCs w:val="24"/>
    </w:rPr>
  </w:style>
  <w:style w:type="paragraph" w:customStyle="1" w:styleId="14">
    <w:name w:val="正文1"/>
    <w:basedOn w:val="1"/>
    <w:qFormat/>
    <w:uiPriority w:val="0"/>
    <w:pPr>
      <w:numPr>
        <w:ilvl w:val="1"/>
        <w:numId w:val="1"/>
      </w:numPr>
      <w:ind w:firstLineChars="0"/>
    </w:pPr>
  </w:style>
  <w:style w:type="character" w:customStyle="1" w:styleId="15">
    <w:name w:val="标题 4 字符"/>
    <w:basedOn w:val="10"/>
    <w:link w:val="6"/>
    <w:semiHidden/>
    <w:qFormat/>
    <w:uiPriority w:val="9"/>
    <w:rPr>
      <w:rFonts w:ascii="Times New Roman" w:hAnsi="Times New Roman" w:eastAsia="宋体" w:cs="Times New Roman"/>
      <w:bCs/>
      <w:snapToGrid/>
      <w:color w:val="auto"/>
      <w:sz w:val="28"/>
      <w:szCs w:val="24"/>
    </w:rPr>
  </w:style>
  <w:style w:type="character" w:customStyle="1" w:styleId="16">
    <w:name w:val="正文文本 字符"/>
    <w:basedOn w:val="10"/>
    <w:link w:val="2"/>
    <w:qFormat/>
    <w:uiPriority w:val="99"/>
    <w:rPr>
      <w:rFonts w:ascii="Times New Roman" w:hAnsi="Times New Roman" w:eastAsia="宋体" w:cs="Times New Roman"/>
      <w:sz w:val="21"/>
      <w:szCs w:val="21"/>
    </w:rPr>
  </w:style>
  <w:style w:type="character" w:customStyle="1" w:styleId="17">
    <w:name w:val="标题 2 字符"/>
    <w:link w:val="4"/>
    <w:qFormat/>
    <w:uiPriority w:val="0"/>
    <w:rPr>
      <w:rFonts w:ascii="Times New Roman" w:hAnsi="Times New Roman" w:eastAsia="楷体" w:cs="Times New Roman"/>
      <w:b/>
      <w:bCs/>
      <w:sz w:val="30"/>
      <w:szCs w:val="30"/>
    </w:rPr>
  </w:style>
  <w:style w:type="character" w:customStyle="1" w:styleId="18">
    <w:name w:val="页眉 字符"/>
    <w:basedOn w:val="10"/>
    <w:link w:val="8"/>
    <w:qFormat/>
    <w:uiPriority w:val="0"/>
    <w:rPr>
      <w:rFonts w:ascii="Times New Roman" w:hAnsi="Times New Roman" w:eastAsia="仿宋" w:cs="Times New Roman"/>
      <w:kern w:val="2"/>
      <w:sz w:val="18"/>
      <w:szCs w:val="18"/>
    </w:rPr>
  </w:style>
  <w:style w:type="character" w:customStyle="1" w:styleId="19">
    <w:name w:val="页脚 字符"/>
    <w:basedOn w:val="10"/>
    <w:link w:val="7"/>
    <w:qFormat/>
    <w:uiPriority w:val="0"/>
    <w:rPr>
      <w:rFonts w:ascii="Times New Roman" w:hAnsi="Times New Roman" w:eastAsia="仿宋" w:cs="Times New Roman"/>
      <w:kern w:val="2"/>
      <w:sz w:val="18"/>
      <w:szCs w:val="18"/>
    </w:rPr>
  </w:style>
  <w:style w:type="paragraph" w:styleId="20">
    <w:name w:val="List Paragraph"/>
    <w:basedOn w:val="1"/>
    <w:unhideWhenUsed/>
    <w:qFormat/>
    <w:uiPriority w:val="99"/>
    <w:pPr>
      <w:ind w:firstLine="420"/>
    </w:p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false"/>
        </a:gradFill>
        <a:gradFill>
          <a:gsLst>
            <a:gs pos="0">
              <a:schemeClr val="phClr">
                <a:hueOff val="-2520000"/>
              </a:schemeClr>
            </a:gs>
            <a:gs pos="100000">
              <a:schemeClr val="phClr"/>
            </a:gs>
          </a:gsLst>
          <a:lin ang="2700000" scaled="false"/>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true"/>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11</Pages>
  <Words>4984</Words>
  <Characters>5006</Characters>
  <Lines>36</Lines>
  <Paragraphs>10</Paragraphs>
  <TotalTime>6</TotalTime>
  <ScaleCrop>false</ScaleCrop>
  <LinksUpToDate>false</LinksUpToDate>
  <CharactersWithSpaces>5041</CharactersWithSpaces>
  <Application>WPS Office_11.8.2.10489_F1E327BC-269C-435d-A152-05C5408002CA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2022-07-08T16:07:00Z</dcterms:created>
  <dc:creator>86155</dc:creator>
  <cp:lastModifiedBy>greatwall</cp:lastModifiedBy>
  <cp:lastPrinted>2025-11-28T11:24:00Z</cp:lastPrinted>
  <dcterms:modified xsi:type="dcterms:W3CDTF">2025-12-01T17:43:19Z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2052-11.8.2.10489</vt:lpwstr>
  </property>
  <property fmtid="{D5CDD505-2E9C-101B-9397-08002B2CF9AE}" pid="3" name="ICV">
    <vt:lpwstr>D472CE9A45EB48C381B35A82D2158B1F_13</vt:lpwstr>
  </property>
  <property fmtid="{D5CDD505-2E9C-101B-9397-08002B2CF9AE}" pid="4" name="KSOTemplateDocerSaveRecord">
    <vt:lpwstr>eyJoZGlkIjoiYjVkYTY3NDQ0MjNiZTZmMWMxMDE4MDZkNDg1ZDY2MTgiLCJ1c2VySWQiOiIzMzc0OTYwMjMifQ==</vt:lpwstr>
  </property>
</Properties>
</file>