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rPr>
          <w:rFonts w:ascii="宋体" w:hAnsi="宋体" w:cs="宋体"/>
          <w:sz w:val="52"/>
          <w:szCs w:val="52"/>
        </w:rPr>
      </w:pPr>
      <w:r>
        <w:rPr>
          <w:rFonts w:hint="eastAsia" w:ascii="宋体" w:hAnsi="宋体" w:cs="宋体"/>
          <w:sz w:val="52"/>
          <w:szCs w:val="52"/>
        </w:rPr>
        <w:t>退役</w:t>
      </w:r>
      <w:r>
        <w:rPr>
          <w:rFonts w:hint="eastAsia" w:ascii="宋体" w:hAnsi="宋体" w:cs="宋体"/>
          <w:sz w:val="52"/>
          <w:szCs w:val="52"/>
          <w:lang w:eastAsia="zh-CN"/>
        </w:rPr>
        <w:t>安置经费</w:t>
      </w:r>
      <w:r>
        <w:rPr>
          <w:rFonts w:hint="eastAsia" w:ascii="宋体" w:hAnsi="宋体" w:cs="宋体"/>
          <w:sz w:val="52"/>
          <w:szCs w:val="52"/>
        </w:rPr>
        <w:t>项目</w:t>
      </w:r>
    </w:p>
    <w:p>
      <w:pPr>
        <w:pStyle w:val="11"/>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12"/>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 xml:space="preserve">            自评单位：太康县退役军人事务局</w:t>
      </w:r>
    </w:p>
    <w:p>
      <w:pPr>
        <w:ind w:firstLine="0" w:firstLineChars="0"/>
        <w:jc w:val="center"/>
        <w:rPr>
          <w:rFonts w:ascii="宋体" w:hAnsi="宋体" w:eastAsia="宋体"/>
          <w:b/>
        </w:rPr>
      </w:pPr>
      <w:r>
        <w:rPr>
          <w:rFonts w:hint="eastAsia" w:ascii="宋体" w:hAnsi="宋体" w:eastAsia="宋体"/>
          <w:b/>
        </w:rPr>
        <w:t>日</w:t>
      </w:r>
      <w:r>
        <w:rPr>
          <w:rFonts w:ascii="宋体" w:hAnsi="宋体" w:eastAsia="宋体"/>
          <w:b/>
        </w:rPr>
        <w:t xml:space="preserve">    </w:t>
      </w:r>
      <w:r>
        <w:rPr>
          <w:rFonts w:hint="eastAsia" w:ascii="宋体" w:hAnsi="宋体" w:eastAsia="宋体"/>
          <w:b/>
        </w:rPr>
        <w:t>期：2022年</w:t>
      </w:r>
      <w:r>
        <w:rPr>
          <w:rFonts w:hint="eastAsia" w:ascii="宋体" w:hAnsi="宋体" w:eastAsia="宋体"/>
          <w:b/>
          <w:lang w:val="en-US" w:eastAsia="zh-CN"/>
        </w:rPr>
        <w:t>5</w:t>
      </w:r>
      <w:r>
        <w:rPr>
          <w:rFonts w:hint="eastAsia" w:ascii="宋体" w:hAnsi="宋体" w:eastAsia="宋体"/>
          <w:b/>
        </w:rPr>
        <w:t>月</w:t>
      </w:r>
    </w:p>
    <w:p>
      <w:pPr>
        <w:pStyle w:val="7"/>
        <w:rPr>
          <w:highlight w:val="yellow"/>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w:t>
      </w:r>
      <w:r>
        <w:rPr>
          <w:b/>
          <w:bCs/>
          <w:sz w:val="36"/>
          <w:szCs w:val="36"/>
        </w:rPr>
        <w:t xml:space="preserve"> </w:t>
      </w:r>
      <w:r>
        <w:rPr>
          <w:rFonts w:hint="eastAsia"/>
          <w:b/>
          <w:bCs/>
          <w:sz w:val="36"/>
          <w:szCs w:val="36"/>
        </w:rPr>
        <w:t xml:space="preserve"> 录</w:t>
      </w:r>
    </w:p>
    <w:p>
      <w:pPr>
        <w:pStyle w:val="7"/>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8"/>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8"/>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7"/>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8"/>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8"/>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8"/>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8"/>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2</w:t>
      </w:r>
      <w:r>
        <w:fldChar w:fldCharType="end"/>
      </w:r>
      <w:r>
        <w:fldChar w:fldCharType="end"/>
      </w:r>
    </w:p>
    <w:p>
      <w:pPr>
        <w:pStyle w:val="8"/>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7"/>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8"/>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8"/>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7"/>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6</w:t>
      </w:r>
      <w:r>
        <w:fldChar w:fldCharType="end"/>
      </w:r>
      <w:r>
        <w:fldChar w:fldCharType="end"/>
      </w:r>
    </w:p>
    <w:p>
      <w:pPr>
        <w:pStyle w:val="8"/>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6</w:t>
      </w:r>
      <w:r>
        <w:fldChar w:fldCharType="end"/>
      </w:r>
      <w:r>
        <w:fldChar w:fldCharType="end"/>
      </w:r>
    </w:p>
    <w:p>
      <w:pPr>
        <w:pStyle w:val="8"/>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6</w:t>
      </w:r>
      <w:r>
        <w:fldChar w:fldCharType="end"/>
      </w:r>
      <w:r>
        <w:fldChar w:fldCharType="end"/>
      </w:r>
    </w:p>
    <w:p>
      <w:pPr>
        <w:pStyle w:val="7"/>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7</w:t>
      </w:r>
      <w:r>
        <w:fldChar w:fldCharType="end"/>
      </w:r>
      <w:r>
        <w:fldChar w:fldCharType="end"/>
      </w:r>
    </w:p>
    <w:p>
      <w:pPr>
        <w:pStyle w:val="8"/>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7</w:t>
      </w:r>
      <w:r>
        <w:fldChar w:fldCharType="end"/>
      </w:r>
      <w:r>
        <w:fldChar w:fldCharType="end"/>
      </w:r>
    </w:p>
    <w:p>
      <w:pPr>
        <w:pStyle w:val="8"/>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7</w:t>
      </w:r>
      <w:r>
        <w:fldChar w:fldCharType="end"/>
      </w:r>
      <w:r>
        <w:fldChar w:fldCharType="end"/>
      </w:r>
    </w:p>
    <w:p>
      <w:pPr>
        <w:pStyle w:val="7"/>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7</w:t>
      </w:r>
      <w:r>
        <w:fldChar w:fldCharType="end"/>
      </w:r>
      <w:r>
        <w:fldChar w:fldCharType="end"/>
      </w:r>
    </w:p>
    <w:p>
      <w:pPr>
        <w:pStyle w:val="7"/>
        <w:tabs>
          <w:tab w:val="right" w:leader="dot" w:pos="8306"/>
          <w:tab w:val="clear" w:pos="8296"/>
        </w:tabs>
      </w:pPr>
      <w:r>
        <w:fldChar w:fldCharType="begin"/>
      </w:r>
      <w:r>
        <w:instrText xml:space="preserve"> HYPERLINK \l "_Toc3394" </w:instrText>
      </w:r>
      <w:r>
        <w:fldChar w:fldCharType="separate"/>
      </w:r>
      <w:r>
        <w:rPr>
          <w:rFonts w:hint="eastAsia"/>
        </w:rPr>
        <w:t>七、附件</w:t>
      </w:r>
      <w:r>
        <w:tab/>
      </w:r>
      <w:r>
        <w:rPr>
          <w:rFonts w:hint="eastAsia"/>
        </w:rPr>
        <w:t>8</w:t>
      </w:r>
      <w:r>
        <w:rPr>
          <w:rFonts w:hint="eastAsia"/>
        </w:rPr>
        <w:fldChar w:fldCharType="end"/>
      </w:r>
    </w:p>
    <w:p>
      <w:pPr>
        <w:pStyle w:val="8"/>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rPr>
          <w:rFonts w:hint="eastAsia"/>
        </w:rPr>
        <w:t>8</w:t>
      </w:r>
      <w:r>
        <w:rPr>
          <w:rFonts w:hint="eastAsia"/>
        </w:rP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0" w:name="_Toc11574"/>
      <w:bookmarkStart w:id="1" w:name="_Toc79333430"/>
      <w:r>
        <w:rPr>
          <w:rFonts w:hint="eastAsia"/>
        </w:rPr>
        <w:t>一、项目基本情况</w:t>
      </w:r>
      <w:bookmarkEnd w:id="0"/>
      <w:bookmarkEnd w:id="1"/>
    </w:p>
    <w:p>
      <w:pPr>
        <w:pStyle w:val="3"/>
      </w:pPr>
      <w:bookmarkStart w:id="2" w:name="_Toc79333431"/>
      <w:bookmarkStart w:id="3" w:name="_Toc8110"/>
      <w:bookmarkStart w:id="4" w:name="_Toc9575"/>
      <w:r>
        <w:rPr>
          <w:rFonts w:hint="eastAsia"/>
        </w:rPr>
        <w:t>（一）项目基本信息</w:t>
      </w:r>
      <w:bookmarkEnd w:id="2"/>
      <w:bookmarkEnd w:id="3"/>
      <w:bookmarkEnd w:id="4"/>
    </w:p>
    <w:p>
      <w:pPr>
        <w:pStyle w:val="4"/>
        <w:ind w:firstLine="643"/>
      </w:pPr>
      <w:bookmarkStart w:id="5" w:name="_Toc79333432"/>
      <w:r>
        <w:rPr>
          <w:rFonts w:hint="eastAsia"/>
        </w:rPr>
        <w:t>1、项目背景</w:t>
      </w:r>
      <w:bookmarkEnd w:id="5"/>
    </w:p>
    <w:p>
      <w:pPr>
        <w:ind w:firstLine="640" w:firstLineChars="200"/>
        <w:jc w:val="left"/>
        <w:rPr>
          <w:rFonts w:ascii="仿宋" w:hAnsi="仿宋" w:eastAsia="仿宋" w:cs="宋体"/>
          <w:color w:val="333333"/>
          <w:kern w:val="0"/>
          <w:sz w:val="32"/>
          <w:szCs w:val="32"/>
        </w:rPr>
      </w:pPr>
      <w:bookmarkStart w:id="6" w:name="_Toc79333433"/>
      <w:r>
        <w:rPr>
          <w:rFonts w:hint="eastAsia" w:ascii="仿宋" w:hAnsi="仿宋" w:eastAsia="仿宋" w:cs="宋体"/>
          <w:color w:val="333333"/>
          <w:kern w:val="0"/>
          <w:sz w:val="32"/>
          <w:szCs w:val="32"/>
        </w:rPr>
        <w:t>组织实施军队离退休干部的抚恤、优待、生活补助、等有关政策的落实，通过银行社会发放到各个军队离退休干部手中。军队移交地方离退休干部医药费.保障军队移交地方离退休干部的生活水平，维护社会安定稳定。</w:t>
      </w:r>
    </w:p>
    <w:p>
      <w:pPr>
        <w:pStyle w:val="4"/>
        <w:ind w:firstLine="643"/>
      </w:pPr>
      <w:r>
        <w:rPr>
          <w:rFonts w:hint="eastAsia"/>
        </w:rPr>
        <w:t>2、项目实施内容</w:t>
      </w:r>
      <w:bookmarkEnd w:id="6"/>
    </w:p>
    <w:p>
      <w:pPr>
        <w:ind w:firstLine="640" w:firstLineChars="200"/>
        <w:jc w:val="left"/>
        <w:rPr>
          <w:rFonts w:ascii="仿宋" w:hAnsi="仿宋" w:eastAsia="仿宋" w:cs="宋体"/>
          <w:color w:val="333333"/>
          <w:kern w:val="0"/>
          <w:sz w:val="32"/>
          <w:szCs w:val="32"/>
        </w:rPr>
      </w:pPr>
      <w:bookmarkStart w:id="7" w:name="_Toc79333434"/>
      <w:bookmarkStart w:id="8" w:name="_Toc17607"/>
      <w:bookmarkStart w:id="9" w:name="_Toc14372"/>
      <w:r>
        <w:rPr>
          <w:rFonts w:hint="eastAsia" w:cs="宋体"/>
          <w:color w:val="333333"/>
          <w:kern w:val="0"/>
        </w:rPr>
        <w:t>本次项目实施在主要内容有：</w:t>
      </w:r>
      <w:r>
        <w:rPr>
          <w:rFonts w:hint="eastAsia" w:ascii="仿宋_GB2312" w:hAnsi="仿宋_GB2312" w:eastAsia="仿宋_GB2312" w:cs="仿宋_GB2312"/>
          <w:color w:val="333333"/>
          <w:kern w:val="0"/>
          <w:sz w:val="32"/>
          <w:szCs w:val="32"/>
        </w:rPr>
        <w:t>用于</w:t>
      </w:r>
      <w:r>
        <w:rPr>
          <w:rFonts w:hint="eastAsia" w:ascii="仿宋_GB2312" w:hAnsi="仿宋_GB2312" w:eastAsia="仿宋_GB2312" w:cs="仿宋_GB2312"/>
          <w:color w:val="333333"/>
          <w:kern w:val="0"/>
          <w:sz w:val="32"/>
          <w:szCs w:val="32"/>
          <w:lang w:eastAsia="zh-CN"/>
        </w:rPr>
        <w:t>移地离退休班人员</w:t>
      </w:r>
      <w:r>
        <w:rPr>
          <w:rFonts w:hint="eastAsia" w:ascii="仿宋_GB2312" w:hAnsi="仿宋_GB2312" w:eastAsia="仿宋_GB2312" w:cs="仿宋_GB2312"/>
          <w:color w:val="333333"/>
          <w:kern w:val="0"/>
          <w:sz w:val="32"/>
          <w:szCs w:val="32"/>
        </w:rPr>
        <w:t>医疗费补助</w:t>
      </w:r>
      <w:r>
        <w:rPr>
          <w:rFonts w:hint="eastAsia" w:ascii="仿宋_GB2312" w:hAnsi="仿宋_GB2312" w:eastAsia="仿宋_GB2312" w:cs="仿宋_GB2312"/>
          <w:color w:val="333333"/>
          <w:kern w:val="0"/>
          <w:sz w:val="32"/>
          <w:szCs w:val="32"/>
          <w:lang w:eastAsia="zh-CN"/>
        </w:rPr>
        <w:t>以及</w:t>
      </w:r>
      <w:r>
        <w:rPr>
          <w:rFonts w:hint="eastAsia" w:ascii="仿宋_GB2312" w:hAnsi="仿宋_GB2312" w:eastAsia="仿宋_GB2312" w:cs="仿宋_GB2312"/>
          <w:color w:val="333333"/>
          <w:kern w:val="0"/>
          <w:sz w:val="32"/>
          <w:szCs w:val="32"/>
        </w:rPr>
        <w:t>其他对个人和家庭补助等支出。</w:t>
      </w:r>
    </w:p>
    <w:p>
      <w:pPr>
        <w:pStyle w:val="3"/>
      </w:pPr>
      <w:r>
        <w:rPr>
          <w:rFonts w:hint="eastAsia"/>
        </w:rPr>
        <w:t>（二）项目支出情况</w:t>
      </w:r>
      <w:bookmarkEnd w:id="7"/>
      <w:bookmarkEnd w:id="8"/>
      <w:bookmarkEnd w:id="9"/>
    </w:p>
    <w:p>
      <w:pPr>
        <w:ind w:firstLine="640"/>
      </w:pPr>
      <w:r>
        <w:rPr>
          <w:rFonts w:hint="eastAsia"/>
        </w:rPr>
        <w:t>项目于2</w:t>
      </w:r>
      <w:r>
        <w:t>02</w:t>
      </w:r>
      <w:r>
        <w:rPr>
          <w:rFonts w:hint="eastAsia"/>
        </w:rPr>
        <w:t>1年共申请财政资金</w:t>
      </w:r>
      <w:r>
        <w:rPr>
          <w:rFonts w:hint="eastAsia"/>
          <w:lang w:val="en-US" w:eastAsia="zh-CN"/>
        </w:rPr>
        <w:t>282.8</w:t>
      </w:r>
      <w:r>
        <w:rPr>
          <w:rFonts w:hint="eastAsia"/>
        </w:rPr>
        <w:t>万元，当年实际执行</w:t>
      </w:r>
      <w:r>
        <w:rPr>
          <w:rFonts w:hint="eastAsia"/>
          <w:lang w:val="en-US" w:eastAsia="zh-CN"/>
        </w:rPr>
        <w:t>282.8</w:t>
      </w:r>
      <w:r>
        <w:rPr>
          <w:rFonts w:hint="eastAsia"/>
        </w:rPr>
        <w:t>万元。</w:t>
      </w:r>
    </w:p>
    <w:p>
      <w:pPr>
        <w:pStyle w:val="2"/>
      </w:pPr>
      <w:bookmarkStart w:id="10" w:name="_Toc75871361"/>
      <w:bookmarkStart w:id="11" w:name="_Toc79333437"/>
      <w:bookmarkStart w:id="12" w:name="_Toc10420"/>
      <w:bookmarkStart w:id="13" w:name="_Toc1209"/>
      <w:r>
        <w:rPr>
          <w:rFonts w:hint="eastAsia"/>
        </w:rPr>
        <w:t>二、绩效自评工作开展情况</w:t>
      </w:r>
      <w:bookmarkEnd w:id="10"/>
      <w:bookmarkEnd w:id="11"/>
      <w:bookmarkEnd w:id="12"/>
      <w:bookmarkEnd w:id="13"/>
    </w:p>
    <w:p>
      <w:pPr>
        <w:pStyle w:val="3"/>
      </w:pPr>
      <w:bookmarkStart w:id="14" w:name="_Toc75871362"/>
      <w:bookmarkStart w:id="15" w:name="_Toc79333438"/>
      <w:bookmarkStart w:id="16" w:name="_Toc2270"/>
      <w:r>
        <w:rPr>
          <w:rFonts w:hint="eastAsia"/>
        </w:rPr>
        <w:t>（一）绩效自评价目的和意义</w:t>
      </w:r>
      <w:bookmarkEnd w:id="14"/>
      <w:bookmarkEnd w:id="15"/>
      <w:bookmarkEnd w:id="16"/>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17" w:name="_Toc79333439"/>
      <w:bookmarkStart w:id="18" w:name="_Toc3060"/>
      <w:bookmarkStart w:id="19" w:name="_Toc75871363"/>
      <w:bookmarkStart w:id="20" w:name="_Toc5617"/>
      <w:r>
        <w:rPr>
          <w:rFonts w:hint="eastAsia"/>
        </w:rPr>
        <w:t>（二）绩效自评价对象和范围</w:t>
      </w:r>
      <w:bookmarkEnd w:id="17"/>
      <w:bookmarkEnd w:id="18"/>
      <w:bookmarkEnd w:id="19"/>
      <w:bookmarkEnd w:id="20"/>
    </w:p>
    <w:p>
      <w:pPr>
        <w:ind w:firstLine="640"/>
      </w:pPr>
      <w:r>
        <w:rPr>
          <w:rFonts w:hint="eastAsia"/>
        </w:rPr>
        <w:t>本次绩效自评价对象为退役</w:t>
      </w:r>
      <w:r>
        <w:rPr>
          <w:rFonts w:hint="eastAsia"/>
          <w:lang w:eastAsia="zh-CN"/>
        </w:rPr>
        <w:t>安置经费</w:t>
      </w:r>
      <w:r>
        <w:rPr>
          <w:rFonts w:hint="eastAsia"/>
        </w:rPr>
        <w:t>开支情况，评价范围为涉及该项目管理及其预算资金</w:t>
      </w:r>
      <w:r>
        <w:rPr>
          <w:rFonts w:hint="eastAsia"/>
          <w:lang w:val="en-US" w:eastAsia="zh-CN"/>
        </w:rPr>
        <w:t>282.8</w:t>
      </w:r>
      <w:r>
        <w:rPr>
          <w:rFonts w:hint="eastAsia"/>
        </w:rPr>
        <w:t>万元的使用情况。</w:t>
      </w:r>
    </w:p>
    <w:p>
      <w:pPr>
        <w:pStyle w:val="3"/>
      </w:pPr>
      <w:bookmarkStart w:id="21" w:name="_Toc8160"/>
      <w:bookmarkStart w:id="22" w:name="_Toc79333440"/>
      <w:bookmarkStart w:id="23" w:name="_Toc75871364"/>
      <w:bookmarkStart w:id="24" w:name="_Toc12774"/>
      <w:r>
        <w:rPr>
          <w:rFonts w:hint="eastAsia"/>
        </w:rPr>
        <w:t>（三）绩效评价的依据</w:t>
      </w:r>
      <w:bookmarkEnd w:id="21"/>
      <w:bookmarkEnd w:id="22"/>
      <w:bookmarkEnd w:id="23"/>
      <w:bookmarkEnd w:id="24"/>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25" w:name="_Toc75871365"/>
      <w:bookmarkStart w:id="26" w:name="_Toc13521"/>
      <w:bookmarkStart w:id="27" w:name="_Toc9578"/>
      <w:bookmarkStart w:id="28" w:name="_Toc79333441"/>
      <w:r>
        <w:rPr>
          <w:rFonts w:hint="eastAsia"/>
        </w:rPr>
        <w:t>（四）评分方法</w:t>
      </w:r>
      <w:bookmarkEnd w:id="25"/>
      <w:bookmarkEnd w:id="26"/>
      <w:bookmarkEnd w:id="27"/>
      <w:bookmarkEnd w:id="28"/>
    </w:p>
    <w:p>
      <w:pPr>
        <w:ind w:firstLine="640"/>
      </w:pPr>
      <w:bookmarkStart w:id="29"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0" w:name="_Toc79333442"/>
      <w:bookmarkStart w:id="31" w:name="_Toc489"/>
      <w:bookmarkStart w:id="32" w:name="_Toc75871366"/>
      <w:r>
        <w:rPr>
          <w:rFonts w:hint="eastAsia"/>
        </w:rPr>
        <w:t>（五）绩效自评工作组织</w:t>
      </w:r>
      <w:bookmarkEnd w:id="29"/>
      <w:bookmarkEnd w:id="30"/>
      <w:bookmarkEnd w:id="31"/>
      <w:bookmarkEnd w:id="32"/>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3" w:name="_Toc24506"/>
      <w:bookmarkStart w:id="34" w:name="_Toc79333443"/>
      <w:r>
        <w:rPr>
          <w:rFonts w:hint="eastAsia"/>
        </w:rPr>
        <w:t>三、绩效自评结果及分析</w:t>
      </w:r>
      <w:bookmarkEnd w:id="33"/>
      <w:bookmarkEnd w:id="34"/>
    </w:p>
    <w:p>
      <w:pPr>
        <w:pStyle w:val="3"/>
      </w:pPr>
      <w:bookmarkStart w:id="35" w:name="_Toc4028"/>
      <w:bookmarkStart w:id="36" w:name="_Toc79333444"/>
      <w:bookmarkStart w:id="37" w:name="_Toc25356"/>
      <w:r>
        <w:t>（一）绩效自评价结果</w:t>
      </w:r>
      <w:bookmarkEnd w:id="35"/>
      <w:bookmarkEnd w:id="36"/>
      <w:bookmarkEnd w:id="37"/>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我单位通过对本项目调查研究、座谈、查阅相关资料，根据相关政策要求进行打分，最终项目自评价得分为9</w:t>
      </w:r>
      <w:r>
        <w:t>8</w:t>
      </w:r>
      <w:r>
        <w:rPr>
          <w:rFonts w:hint="eastAsia"/>
        </w:rPr>
        <w:t>分，评价结果为“优”。各项指标具体得分情况如下表</w:t>
      </w:r>
      <w:r>
        <w:t>3</w:t>
      </w:r>
      <w:r>
        <w:rPr>
          <w:rFonts w:hint="eastAsia"/>
        </w:rPr>
        <w:t>.1所示</w:t>
      </w:r>
    </w:p>
    <w:p>
      <w:pPr>
        <w:pStyle w:val="13"/>
        <w:ind w:firstLine="643"/>
      </w:pPr>
      <w:r>
        <w:rPr>
          <w:rFonts w:hint="eastAsia"/>
        </w:rPr>
        <w:t>表3.1 绩效自评价得分表</w:t>
      </w:r>
    </w:p>
    <w:tbl>
      <w:tblPr>
        <w:tblStyle w:val="9"/>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4"/>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4"/>
            </w:pPr>
            <w:r>
              <w:rPr>
                <w:rFonts w:hint="eastAsia"/>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4"/>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4"/>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4"/>
            </w:pPr>
            <w:r>
              <w:rPr>
                <w:rFonts w:hint="eastAsia"/>
              </w:rPr>
              <w:t>实际得分</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4"/>
                <w:szCs w:val="24"/>
              </w:rPr>
            </w:pPr>
            <w:r>
              <w:rPr>
                <w:rFonts w:hint="eastAsia" w:ascii="仿宋" w:hAnsi="仿宋" w:eastAsia="仿宋" w:cs="仿宋"/>
                <w:sz w:val="24"/>
                <w:szCs w:val="24"/>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color w:val="000000"/>
                <w:kern w:val="0"/>
                <w:sz w:val="24"/>
                <w:szCs w:val="24"/>
              </w:rPr>
              <w:t>保障军休人数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4"/>
              <w:rPr>
                <w:rFonts w:hint="eastAsia" w:ascii="仿宋" w:hAnsi="仿宋" w:eastAsia="仿宋" w:cs="仿宋"/>
                <w:sz w:val="24"/>
                <w:szCs w:val="24"/>
              </w:rPr>
            </w:pPr>
          </w:p>
        </w:tc>
        <w:tc>
          <w:tcPr>
            <w:tcW w:w="949" w:type="pct"/>
            <w:vMerge w:val="continue"/>
            <w:tcBorders>
              <w:left w:val="single" w:color="auto" w:sz="4" w:space="0"/>
              <w:right w:val="single" w:color="auto" w:sz="4" w:space="0"/>
            </w:tcBorders>
            <w:vAlign w:val="center"/>
          </w:tcPr>
          <w:p>
            <w:pPr>
              <w:pStyle w:val="14"/>
              <w:rPr>
                <w:rFonts w:hint="eastAsia" w:ascii="仿宋" w:hAnsi="仿宋" w:eastAsia="仿宋" w:cs="仿宋"/>
                <w:sz w:val="24"/>
                <w:szCs w:val="24"/>
              </w:rPr>
            </w:pPr>
          </w:p>
        </w:tc>
        <w:tc>
          <w:tcPr>
            <w:tcW w:w="1613" w:type="pct"/>
            <w:tcBorders>
              <w:top w:val="nil"/>
              <w:left w:val="nil"/>
              <w:bottom w:val="single" w:color="auto" w:sz="4" w:space="0"/>
              <w:right w:val="single" w:color="auto"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保障月数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4"/>
              <w:rPr>
                <w:rFonts w:hint="eastAsia" w:ascii="仿宋" w:hAnsi="仿宋" w:eastAsia="仿宋" w:cs="仿宋"/>
                <w:sz w:val="24"/>
                <w:szCs w:val="24"/>
              </w:rPr>
            </w:pPr>
          </w:p>
        </w:tc>
        <w:tc>
          <w:tcPr>
            <w:tcW w:w="949" w:type="pct"/>
            <w:tcBorders>
              <w:top w:val="single" w:color="auto" w:sz="4" w:space="0"/>
              <w:left w:val="single" w:color="auto" w:sz="4" w:space="0"/>
              <w:right w:val="single" w:color="auto" w:sz="4" w:space="0"/>
            </w:tcBorders>
            <w:vAlign w:val="center"/>
          </w:tcPr>
          <w:p>
            <w:pPr>
              <w:pStyle w:val="14"/>
              <w:rPr>
                <w:rFonts w:hint="eastAsia" w:ascii="仿宋" w:hAnsi="仿宋" w:eastAsia="仿宋" w:cs="仿宋"/>
                <w:sz w:val="24"/>
                <w:szCs w:val="24"/>
              </w:rPr>
            </w:pPr>
            <w:r>
              <w:rPr>
                <w:rFonts w:hint="eastAsia" w:ascii="仿宋" w:hAnsi="仿宋" w:eastAsia="仿宋" w:cs="仿宋"/>
                <w:sz w:val="24"/>
                <w:szCs w:val="24"/>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color w:val="000000"/>
                <w:kern w:val="0"/>
                <w:sz w:val="24"/>
                <w:szCs w:val="24"/>
              </w:rPr>
              <w:t>军休人员生活补助经费发放拨付率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4"/>
              <w:rPr>
                <w:rFonts w:hint="eastAsia" w:ascii="仿宋" w:hAnsi="仿宋" w:eastAsia="仿宋" w:cs="仿宋"/>
                <w:sz w:val="24"/>
                <w:szCs w:val="24"/>
              </w:rPr>
            </w:pPr>
          </w:p>
        </w:tc>
        <w:tc>
          <w:tcPr>
            <w:tcW w:w="949" w:type="pct"/>
            <w:tcBorders>
              <w:top w:val="single" w:color="auto" w:sz="4" w:space="0"/>
              <w:left w:val="single" w:color="auto" w:sz="4" w:space="0"/>
              <w:right w:val="single" w:color="auto" w:sz="4" w:space="0"/>
            </w:tcBorders>
            <w:vAlign w:val="center"/>
          </w:tcPr>
          <w:p>
            <w:pPr>
              <w:pStyle w:val="14"/>
              <w:rPr>
                <w:rFonts w:hint="eastAsia" w:ascii="仿宋" w:hAnsi="仿宋" w:eastAsia="仿宋" w:cs="仿宋"/>
                <w:sz w:val="24"/>
                <w:szCs w:val="24"/>
              </w:rPr>
            </w:pPr>
            <w:r>
              <w:rPr>
                <w:rFonts w:hint="eastAsia" w:ascii="仿宋" w:hAnsi="仿宋" w:eastAsia="仿宋" w:cs="仿宋"/>
                <w:sz w:val="24"/>
                <w:szCs w:val="24"/>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军休医疗报销及时率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4"/>
              <w:rPr>
                <w:rFonts w:hint="eastAsia" w:ascii="仿宋" w:hAnsi="仿宋" w:eastAsia="仿宋" w:cs="仿宋"/>
                <w:sz w:val="24"/>
                <w:szCs w:val="24"/>
              </w:rPr>
            </w:pPr>
            <w:r>
              <w:rPr>
                <w:rFonts w:hint="eastAsia" w:ascii="仿宋" w:hAnsi="仿宋" w:eastAsia="仿宋" w:cs="仿宋"/>
                <w:sz w:val="24"/>
                <w:szCs w:val="24"/>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保障军队离退休干部基本生活</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14</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4"/>
              <w:rPr>
                <w:rFonts w:hint="eastAsia" w:ascii="仿宋" w:hAnsi="仿宋" w:eastAsia="仿宋" w:cs="仿宋"/>
                <w:sz w:val="24"/>
                <w:szCs w:val="24"/>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4"/>
              <w:rPr>
                <w:rFonts w:hint="eastAsia" w:ascii="仿宋" w:hAnsi="仿宋" w:eastAsia="仿宋" w:cs="仿宋"/>
                <w:sz w:val="24"/>
                <w:szCs w:val="24"/>
              </w:rPr>
            </w:pP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改善军队离退休干部医疗条件</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rPr>
                <w:rFonts w:hint="eastAsia" w:ascii="仿宋" w:hAnsi="仿宋" w:eastAsia="仿宋" w:cs="仿宋"/>
                <w:sz w:val="24"/>
                <w:szCs w:val="24"/>
              </w:rPr>
            </w:pPr>
            <w:r>
              <w:rPr>
                <w:rFonts w:hint="eastAsia" w:ascii="仿宋" w:hAnsi="仿宋" w:eastAsia="仿宋" w:cs="仿宋"/>
                <w:sz w:val="24"/>
                <w:szCs w:val="24"/>
              </w:rPr>
              <w:t>14</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4"/>
              <w:rPr>
                <w:rFonts w:hint="eastAsia" w:ascii="仿宋" w:hAnsi="仿宋" w:eastAsia="仿宋" w:cs="仿宋"/>
                <w:sz w:val="24"/>
                <w:szCs w:val="24"/>
              </w:rPr>
            </w:pPr>
            <w:r>
              <w:rPr>
                <w:rFonts w:hint="eastAsia" w:ascii="仿宋" w:hAnsi="仿宋" w:eastAsia="仿宋" w:cs="仿宋"/>
                <w:sz w:val="24"/>
                <w:szCs w:val="24"/>
              </w:rPr>
              <w:t>满意度</w:t>
            </w:r>
          </w:p>
          <w:p>
            <w:pPr>
              <w:pStyle w:val="14"/>
              <w:rPr>
                <w:rFonts w:hint="eastAsia" w:ascii="仿宋" w:hAnsi="仿宋" w:eastAsia="仿宋" w:cs="仿宋"/>
                <w:sz w:val="24"/>
                <w:szCs w:val="24"/>
              </w:rPr>
            </w:pPr>
            <w:r>
              <w:rPr>
                <w:rFonts w:hint="eastAsia" w:ascii="仿宋" w:hAnsi="仿宋" w:eastAsia="仿宋" w:cs="仿宋"/>
                <w:sz w:val="24"/>
                <w:szCs w:val="24"/>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4"/>
              <w:rPr>
                <w:rFonts w:hint="eastAsia" w:ascii="仿宋" w:hAnsi="仿宋" w:eastAsia="仿宋" w:cs="仿宋"/>
                <w:sz w:val="24"/>
                <w:szCs w:val="24"/>
              </w:rPr>
            </w:pPr>
            <w:r>
              <w:rPr>
                <w:rFonts w:hint="eastAsia" w:ascii="仿宋" w:hAnsi="仿宋" w:eastAsia="仿宋" w:cs="仿宋"/>
                <w:sz w:val="24"/>
                <w:szCs w:val="24"/>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4"/>
              <w:rPr>
                <w:rFonts w:hint="eastAsia" w:ascii="仿宋" w:hAnsi="仿宋" w:eastAsia="仿宋" w:cs="仿宋"/>
                <w:sz w:val="24"/>
                <w:szCs w:val="24"/>
              </w:rPr>
            </w:pPr>
            <w:r>
              <w:rPr>
                <w:rFonts w:hint="eastAsia" w:ascii="仿宋" w:hAnsi="仿宋" w:eastAsia="仿宋" w:cs="仿宋"/>
                <w:sz w:val="24"/>
                <w:szCs w:val="24"/>
              </w:rPr>
              <w:t>军队离退休干部满意度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4"/>
              <w:rPr>
                <w:rFonts w:hint="eastAsia" w:ascii="仿宋" w:hAnsi="仿宋" w:eastAsia="仿宋" w:cs="仿宋"/>
                <w:sz w:val="24"/>
                <w:szCs w:val="24"/>
              </w:rPr>
            </w:pPr>
            <w:r>
              <w:rPr>
                <w:rFonts w:hint="eastAsia" w:ascii="仿宋" w:hAnsi="仿宋" w:eastAsia="仿宋" w:cs="仿宋"/>
                <w:sz w:val="24"/>
                <w:szCs w:val="24"/>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rPr>
                <w:rFonts w:hint="eastAsia" w:ascii="仿宋" w:hAnsi="仿宋" w:eastAsia="仿宋" w:cs="仿宋"/>
                <w:sz w:val="24"/>
                <w:szCs w:val="24"/>
              </w:rPr>
            </w:pPr>
            <w:r>
              <w:rPr>
                <w:rFonts w:hint="eastAsia" w:ascii="仿宋" w:hAnsi="仿宋" w:eastAsia="仿宋" w:cs="仿宋"/>
                <w:sz w:val="24"/>
                <w:szCs w:val="24"/>
              </w:rPr>
              <w:t>10</w:t>
            </w:r>
          </w:p>
        </w:tc>
      </w:tr>
      <w:tr>
        <w:tblPrEx>
          <w:tblCellMar>
            <w:top w:w="0" w:type="dxa"/>
            <w:left w:w="108" w:type="dxa"/>
            <w:bottom w:w="0" w:type="dxa"/>
            <w:right w:w="108" w:type="dxa"/>
          </w:tblCellMar>
        </w:tblPrEx>
        <w:trPr>
          <w:trHeight w:val="567" w:hRule="atLeast"/>
          <w:jc w:val="center"/>
        </w:trPr>
        <w:tc>
          <w:tcPr>
            <w:tcW w:w="3335"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4"/>
              <w:rPr>
                <w:rFonts w:hint="eastAsia" w:ascii="仿宋" w:hAnsi="仿宋" w:eastAsia="仿宋" w:cs="仿宋"/>
                <w:sz w:val="24"/>
                <w:szCs w:val="24"/>
              </w:rPr>
            </w:pPr>
            <w:r>
              <w:rPr>
                <w:rFonts w:hint="eastAsia" w:ascii="仿宋" w:hAnsi="仿宋" w:eastAsia="仿宋" w:cs="仿宋"/>
                <w:sz w:val="24"/>
                <w:szCs w:val="24"/>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4"/>
              <w:rPr>
                <w:rFonts w:hint="eastAsia" w:ascii="仿宋" w:hAnsi="仿宋" w:eastAsia="仿宋" w:cs="仿宋"/>
                <w:sz w:val="24"/>
                <w:szCs w:val="24"/>
              </w:rPr>
            </w:pPr>
            <w:r>
              <w:rPr>
                <w:rFonts w:hint="eastAsia" w:ascii="仿宋" w:hAnsi="仿宋" w:eastAsia="仿宋" w:cs="仿宋"/>
                <w:sz w:val="24"/>
                <w:szCs w:val="24"/>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4"/>
              <w:rPr>
                <w:rFonts w:hint="eastAsia" w:ascii="仿宋" w:hAnsi="仿宋" w:eastAsia="仿宋" w:cs="仿宋"/>
                <w:sz w:val="24"/>
                <w:szCs w:val="24"/>
              </w:rPr>
            </w:pPr>
            <w:r>
              <w:rPr>
                <w:rFonts w:hint="eastAsia" w:ascii="仿宋" w:hAnsi="仿宋" w:eastAsia="仿宋" w:cs="仿宋"/>
                <w:sz w:val="24"/>
                <w:szCs w:val="24"/>
              </w:rPr>
              <w:t>98</w:t>
            </w:r>
          </w:p>
        </w:tc>
      </w:tr>
    </w:tbl>
    <w:p>
      <w:pPr>
        <w:pStyle w:val="3"/>
      </w:pPr>
      <w:bookmarkStart w:id="38" w:name="_Toc79333445"/>
      <w:bookmarkStart w:id="39" w:name="_Toc31442"/>
      <w:bookmarkStart w:id="40" w:name="_Toc24245"/>
      <w:r>
        <w:rPr>
          <w:rFonts w:hint="eastAsia"/>
        </w:rPr>
        <w:t>（二）自评指标分析</w:t>
      </w:r>
      <w:bookmarkEnd w:id="38"/>
      <w:bookmarkEnd w:id="39"/>
      <w:bookmarkEnd w:id="40"/>
    </w:p>
    <w:p>
      <w:pPr>
        <w:pStyle w:val="4"/>
        <w:ind w:firstLine="643"/>
      </w:pPr>
      <w:bookmarkStart w:id="41" w:name="_Toc9747"/>
      <w:bookmarkStart w:id="42" w:name="_Toc79333446"/>
      <w:r>
        <w:rPr>
          <w:rFonts w:hint="eastAsia"/>
        </w:rPr>
        <w:t>1、预算执行指标分析</w:t>
      </w:r>
      <w:bookmarkEnd w:id="41"/>
      <w:bookmarkEnd w:id="42"/>
    </w:p>
    <w:p>
      <w:pPr>
        <w:ind w:firstLine="640"/>
      </w:pPr>
      <w:r>
        <w:rPr>
          <w:rFonts w:hint="eastAsia"/>
        </w:rPr>
        <w:t>一级指标“预算执行”下设一个二级指标和一个三级指标，均为“预算执行率”，该指标标准分值</w:t>
      </w:r>
      <w:r>
        <w:t>10分，实际得分</w:t>
      </w:r>
      <w:r>
        <w:rPr>
          <w:rFonts w:hint="eastAsia"/>
        </w:rPr>
        <w:t>10分。</w:t>
      </w:r>
    </w:p>
    <w:p>
      <w:pPr>
        <w:ind w:firstLine="640"/>
      </w:pPr>
      <w:r>
        <w:rPr>
          <w:rFonts w:hint="eastAsia"/>
        </w:rPr>
        <w:t>项目全年预算资金为</w:t>
      </w:r>
      <w:r>
        <w:rPr>
          <w:rFonts w:hint="eastAsia"/>
          <w:lang w:val="en-US" w:eastAsia="zh-CN"/>
        </w:rPr>
        <w:t>282.8</w:t>
      </w:r>
      <w:r>
        <w:rPr>
          <w:rFonts w:hint="eastAsia"/>
        </w:rPr>
        <w:t>万元，全年执行数为</w:t>
      </w:r>
      <w:r>
        <w:rPr>
          <w:rFonts w:hint="eastAsia"/>
          <w:lang w:val="en-US" w:eastAsia="zh-CN"/>
        </w:rPr>
        <w:t>282.8</w:t>
      </w:r>
      <w:r>
        <w:rPr>
          <w:rFonts w:hint="eastAsia"/>
        </w:rPr>
        <w:t>万元，预算执行率100</w:t>
      </w:r>
      <w:r>
        <w:t>%，根据评分标准，预算执行率得分</w:t>
      </w:r>
      <w:r>
        <w:rPr>
          <w:rFonts w:hint="eastAsia"/>
        </w:rPr>
        <w:t>10分。</w:t>
      </w:r>
    </w:p>
    <w:p>
      <w:pPr>
        <w:pStyle w:val="4"/>
        <w:ind w:firstLine="643"/>
      </w:pPr>
      <w:bookmarkStart w:id="43" w:name="_Toc79333447"/>
      <w:r>
        <w:rPr>
          <w:rFonts w:hint="eastAsia"/>
        </w:rPr>
        <w:t>2、产出指标分析</w:t>
      </w:r>
      <w:bookmarkEnd w:id="43"/>
    </w:p>
    <w:p>
      <w:pPr>
        <w:ind w:firstLine="640"/>
      </w:pPr>
      <w:r>
        <w:rPr>
          <w:rFonts w:hint="eastAsia"/>
        </w:rPr>
        <w:t>一级指标“产出指标”下设三个二级指标分别是：“数量指标”、“质量指标”、“时效指标”。</w:t>
      </w:r>
    </w:p>
    <w:p>
      <w:pPr>
        <w:ind w:firstLine="640"/>
      </w:pPr>
      <w:r>
        <w:rPr>
          <w:rFonts w:hint="eastAsia"/>
        </w:rPr>
        <w:t>（1）数量指标</w:t>
      </w:r>
    </w:p>
    <w:p>
      <w:pPr>
        <w:ind w:firstLine="640"/>
      </w:pPr>
      <w:r>
        <w:rPr>
          <w:rFonts w:hint="eastAsia"/>
        </w:rPr>
        <w:t>“数量指标”下设二个三级指标“保障军休人数”及“保障月数”。</w:t>
      </w:r>
    </w:p>
    <w:p>
      <w:pPr>
        <w:ind w:firstLine="640"/>
      </w:pPr>
      <w:r>
        <w:rPr>
          <w:rFonts w:hint="eastAsia"/>
        </w:rPr>
        <w:t>截止2</w:t>
      </w:r>
      <w:r>
        <w:t>02</w:t>
      </w:r>
      <w:r>
        <w:rPr>
          <w:rFonts w:hint="eastAsia"/>
        </w:rPr>
        <w:t>1年1</w:t>
      </w:r>
      <w:r>
        <w:t>2</w:t>
      </w:r>
      <w:r>
        <w:rPr>
          <w:rFonts w:hint="eastAsia"/>
        </w:rPr>
        <w:t>月3</w:t>
      </w:r>
      <w:r>
        <w:t>1</w:t>
      </w:r>
      <w:r>
        <w:rPr>
          <w:rFonts w:hint="eastAsia"/>
        </w:rPr>
        <w:t>日，保障军休人数为</w:t>
      </w:r>
      <w:r>
        <w:rPr>
          <w:rFonts w:hint="eastAsia"/>
          <w:lang w:val="en-US" w:eastAsia="zh-CN"/>
        </w:rPr>
        <w:t>26</w:t>
      </w:r>
      <w:bookmarkStart w:id="64" w:name="_GoBack"/>
      <w:bookmarkEnd w:id="64"/>
      <w:r>
        <w:rPr>
          <w:rFonts w:hint="eastAsia"/>
        </w:rPr>
        <w:t>人，该指标标准分值1</w:t>
      </w:r>
      <w:r>
        <w:t>5分，得</w:t>
      </w:r>
      <w:r>
        <w:rPr>
          <w:rFonts w:hint="eastAsia"/>
        </w:rPr>
        <w:t>1</w:t>
      </w:r>
      <w:r>
        <w:t>5分</w:t>
      </w:r>
      <w:r>
        <w:rPr>
          <w:rFonts w:hint="eastAsia"/>
        </w:rPr>
        <w:t>；保障月数为</w:t>
      </w:r>
      <w:r>
        <w:t>12</w:t>
      </w:r>
      <w:r>
        <w:rPr>
          <w:rFonts w:hint="eastAsia"/>
        </w:rPr>
        <w:t>个，该指标标准分值1</w:t>
      </w:r>
      <w:r>
        <w:t>5分，得</w:t>
      </w:r>
      <w:r>
        <w:rPr>
          <w:rFonts w:hint="eastAsia"/>
        </w:rPr>
        <w:t>1</w:t>
      </w:r>
      <w:r>
        <w:t>5分</w:t>
      </w:r>
      <w:r>
        <w:rPr>
          <w:rFonts w:hint="eastAsia"/>
        </w:rPr>
        <w:t>。</w:t>
      </w:r>
    </w:p>
    <w:p>
      <w:pPr>
        <w:ind w:firstLine="640"/>
      </w:pPr>
      <w:r>
        <w:rPr>
          <w:rFonts w:hint="eastAsia"/>
        </w:rPr>
        <w:t>综上所述，根据评分标准，数量指标实际得</w:t>
      </w:r>
      <w:r>
        <w:t>3</w:t>
      </w:r>
      <w:r>
        <w:rPr>
          <w:rFonts w:hint="eastAsia"/>
        </w:rPr>
        <w:t>0</w:t>
      </w:r>
      <w:r>
        <w:t>分。</w:t>
      </w:r>
    </w:p>
    <w:p>
      <w:pPr>
        <w:ind w:firstLine="640"/>
      </w:pPr>
      <w:r>
        <w:rPr>
          <w:rFonts w:hint="eastAsia"/>
        </w:rPr>
        <w:t>（2）质量指标</w:t>
      </w:r>
    </w:p>
    <w:p>
      <w:pPr>
        <w:ind w:firstLine="640"/>
      </w:pPr>
      <w:r>
        <w:rPr>
          <w:rFonts w:hint="eastAsia"/>
        </w:rPr>
        <w:t>“质量指标”下设一个三级指标“军休人员生活补助经费发放拨付率”。</w:t>
      </w:r>
    </w:p>
    <w:p>
      <w:pPr>
        <w:ind w:firstLine="640"/>
      </w:pPr>
      <w:r>
        <w:rPr>
          <w:rFonts w:hint="eastAsia"/>
        </w:rPr>
        <w:t>军休人员生活补助经费发放拨付率达到1</w:t>
      </w:r>
      <w:r>
        <w:t>00</w:t>
      </w:r>
      <w:r>
        <w:rPr>
          <w:rFonts w:hint="eastAsia"/>
        </w:rPr>
        <w:t>%，该指标标准分值为</w:t>
      </w:r>
      <w:r>
        <w:t>10</w:t>
      </w:r>
      <w:r>
        <w:rPr>
          <w:rFonts w:hint="eastAsia"/>
        </w:rPr>
        <w:t>分，得分为</w:t>
      </w:r>
      <w:r>
        <w:t>10</w:t>
      </w:r>
      <w:r>
        <w:rPr>
          <w:rFonts w:hint="eastAsia"/>
        </w:rPr>
        <w:t>分</w:t>
      </w:r>
    </w:p>
    <w:p>
      <w:pPr>
        <w:ind w:firstLine="640"/>
      </w:pPr>
      <w:r>
        <w:rPr>
          <w:rFonts w:hint="eastAsia"/>
        </w:rPr>
        <w:t>综上所述，根据评分标准，质量指标实际得</w:t>
      </w:r>
      <w:r>
        <w:t>10分。</w:t>
      </w:r>
    </w:p>
    <w:p>
      <w:pPr>
        <w:ind w:firstLine="640"/>
      </w:pPr>
      <w:r>
        <w:rPr>
          <w:rFonts w:hint="eastAsia"/>
        </w:rPr>
        <w:t>（3）时效指标</w:t>
      </w:r>
    </w:p>
    <w:p>
      <w:pPr>
        <w:ind w:firstLine="640"/>
      </w:pPr>
      <w:r>
        <w:rPr>
          <w:rFonts w:hint="eastAsia"/>
        </w:rPr>
        <w:t>“时效指标”下设一个三级指标“军休医疗报销及时率”。</w:t>
      </w:r>
    </w:p>
    <w:p>
      <w:pPr>
        <w:ind w:firstLine="640"/>
      </w:pPr>
      <w:bookmarkStart w:id="44" w:name="_Hlk79160389"/>
      <w:r>
        <w:rPr>
          <w:rFonts w:hint="eastAsia"/>
        </w:rPr>
        <w:t>军休医疗报销及时率达到1</w:t>
      </w:r>
      <w:r>
        <w:t>00</w:t>
      </w:r>
      <w:r>
        <w:rPr>
          <w:rFonts w:hint="eastAsia"/>
        </w:rPr>
        <w:t>%。该指标标准分值为10</w:t>
      </w:r>
      <w:r>
        <w:t>分，得分为</w:t>
      </w:r>
      <w:r>
        <w:rPr>
          <w:rFonts w:hint="eastAsia"/>
        </w:rPr>
        <w:t>1</w:t>
      </w:r>
      <w:r>
        <w:t>0分</w:t>
      </w:r>
      <w:r>
        <w:rPr>
          <w:rFonts w:hint="eastAsia"/>
        </w:rPr>
        <w:t>。</w:t>
      </w:r>
    </w:p>
    <w:bookmarkEnd w:id="44"/>
    <w:p>
      <w:pPr>
        <w:pStyle w:val="4"/>
        <w:ind w:firstLine="643"/>
      </w:pPr>
      <w:bookmarkStart w:id="45" w:name="_Toc79333448"/>
      <w:r>
        <w:t>3、效益指标分析</w:t>
      </w:r>
      <w:bookmarkEnd w:id="45"/>
    </w:p>
    <w:p>
      <w:pPr>
        <w:ind w:firstLine="640"/>
      </w:pPr>
      <w:r>
        <w:rPr>
          <w:rFonts w:hint="eastAsia"/>
        </w:rPr>
        <w:t>“效益指标”下设一个二级指标，分别为“社会效益”。</w:t>
      </w:r>
    </w:p>
    <w:p>
      <w:pPr>
        <w:ind w:firstLine="640"/>
      </w:pPr>
      <w:r>
        <w:rPr>
          <w:rFonts w:hint="eastAsia"/>
        </w:rPr>
        <w:t>（</w:t>
      </w:r>
      <w:r>
        <w:t>1</w:t>
      </w:r>
      <w:r>
        <w:rPr>
          <w:rFonts w:hint="eastAsia"/>
        </w:rPr>
        <w:t>）社会效益</w:t>
      </w:r>
    </w:p>
    <w:p>
      <w:pPr>
        <w:ind w:firstLine="640"/>
      </w:pPr>
      <w:r>
        <w:rPr>
          <w:rFonts w:hint="eastAsia"/>
        </w:rPr>
        <w:t>“社会效益”下设三级指标“保障军队离退休干部基本生活”和“改善军队离退休干部医疗条件”。</w:t>
      </w:r>
    </w:p>
    <w:p>
      <w:pPr>
        <w:ind w:firstLine="640"/>
      </w:pPr>
      <w:r>
        <w:rPr>
          <w:rFonts w:hint="eastAsia"/>
        </w:rPr>
        <w:t>保障军队离退休干部基本生活。该指标标准分值为</w:t>
      </w:r>
      <w:r>
        <w:t>15</w:t>
      </w:r>
      <w:r>
        <w:rPr>
          <w:rFonts w:hint="eastAsia"/>
        </w:rPr>
        <w:t>分，实际综合得分为</w:t>
      </w:r>
      <w:r>
        <w:t>14</w:t>
      </w:r>
      <w:r>
        <w:rPr>
          <w:rFonts w:hint="eastAsia"/>
        </w:rPr>
        <w:t>分。进一步改善军队离退休干部医疗条件。该指标标准分值为</w:t>
      </w:r>
      <w:r>
        <w:t>15</w:t>
      </w:r>
      <w:r>
        <w:rPr>
          <w:rFonts w:hint="eastAsia"/>
        </w:rPr>
        <w:t>分，实际综合得分为</w:t>
      </w:r>
      <w:r>
        <w:t>14</w:t>
      </w:r>
      <w:r>
        <w:rPr>
          <w:rFonts w:hint="eastAsia"/>
        </w:rPr>
        <w:t>分。</w:t>
      </w:r>
    </w:p>
    <w:p>
      <w:pPr>
        <w:ind w:firstLine="640"/>
      </w:pPr>
      <w:r>
        <w:rPr>
          <w:rFonts w:hint="eastAsia"/>
        </w:rPr>
        <w:t>综上所述，根据评分标准，效益指标实际得</w:t>
      </w:r>
      <w:r>
        <w:t>28分。</w:t>
      </w:r>
    </w:p>
    <w:p>
      <w:pPr>
        <w:pStyle w:val="4"/>
        <w:ind w:firstLine="643"/>
      </w:pPr>
      <w:bookmarkStart w:id="46" w:name="_Toc79333449"/>
      <w:r>
        <w:t>4、满意度指标分析</w:t>
      </w:r>
      <w:bookmarkEnd w:id="46"/>
    </w:p>
    <w:p>
      <w:pPr>
        <w:ind w:firstLine="640"/>
      </w:pPr>
      <w:r>
        <w:rPr>
          <w:rFonts w:hint="eastAsia"/>
        </w:rPr>
        <w:t>满意度：项目满意率达到95%，该项指标标准分值10分，得分为</w:t>
      </w:r>
      <w:r>
        <w:t>10</w:t>
      </w:r>
      <w:r>
        <w:rPr>
          <w:rFonts w:hint="eastAsia"/>
        </w:rPr>
        <w:t>分。</w:t>
      </w:r>
    </w:p>
    <w:p>
      <w:pPr>
        <w:pStyle w:val="2"/>
      </w:pPr>
      <w:bookmarkStart w:id="47" w:name="_Toc29830"/>
      <w:bookmarkStart w:id="48" w:name="_Toc1809"/>
      <w:bookmarkStart w:id="49" w:name="_Toc79333450"/>
      <w:r>
        <w:rPr>
          <w:rFonts w:hint="eastAsia"/>
        </w:rPr>
        <w:t>四、成果和问题</w:t>
      </w:r>
      <w:bookmarkEnd w:id="47"/>
      <w:bookmarkEnd w:id="48"/>
      <w:bookmarkEnd w:id="49"/>
    </w:p>
    <w:p>
      <w:pPr>
        <w:pStyle w:val="3"/>
      </w:pPr>
      <w:bookmarkStart w:id="50" w:name="_Toc79333451"/>
      <w:bookmarkStart w:id="51" w:name="_Toc30565"/>
      <w:r>
        <w:rPr>
          <w:rFonts w:hint="eastAsia"/>
        </w:rPr>
        <w:t>（一）项目实施的成果</w:t>
      </w:r>
      <w:bookmarkEnd w:id="50"/>
      <w:bookmarkEnd w:id="51"/>
    </w:p>
    <w:p>
      <w:pPr>
        <w:ind w:firstLine="640"/>
      </w:pPr>
      <w:bookmarkStart w:id="52" w:name="_Toc30691"/>
      <w:bookmarkStart w:id="53" w:name="_Toc79333452"/>
      <w:r>
        <w:rPr>
          <w:rFonts w:hint="eastAsia"/>
        </w:rPr>
        <w:t>按照县委、县政府的工作要求，对单位项目支持实施全面绩效评价，有效保障项目管理工作、资金管理工作的顺利进行。</w:t>
      </w:r>
    </w:p>
    <w:p>
      <w:pPr>
        <w:pStyle w:val="3"/>
      </w:pPr>
      <w:r>
        <w:rPr>
          <w:rFonts w:hint="eastAsia"/>
        </w:rPr>
        <w:t>（二）项目存在的问题</w:t>
      </w:r>
      <w:bookmarkEnd w:id="52"/>
      <w:bookmarkEnd w:id="53"/>
    </w:p>
    <w:p>
      <w:pPr>
        <w:ind w:firstLine="643"/>
        <w:rPr>
          <w:b/>
        </w:rPr>
      </w:pPr>
      <w:r>
        <w:rPr>
          <w:rFonts w:hint="eastAsia"/>
          <w:b/>
        </w:rPr>
        <w:t>1、绩效管理意识薄弱</w:t>
      </w:r>
    </w:p>
    <w:p>
      <w:pPr>
        <w:ind w:firstLine="640"/>
      </w:pPr>
      <w:r>
        <w:rPr>
          <w:rFonts w:hint="eastAsia"/>
        </w:rPr>
        <w:t>我单位在进行绩效自评工作时，发现单位绩效管理意识薄弱，有待进一步加强。</w:t>
      </w:r>
    </w:p>
    <w:p>
      <w:pPr>
        <w:ind w:firstLine="643"/>
        <w:rPr>
          <w:b/>
        </w:rPr>
      </w:pPr>
      <w:r>
        <w:rPr>
          <w:rFonts w:hint="eastAsia"/>
          <w:b/>
        </w:rPr>
        <w:t>2、绩效管理水平有待进一步提高</w:t>
      </w:r>
    </w:p>
    <w:p>
      <w:pPr>
        <w:ind w:firstLine="640"/>
      </w:pPr>
      <w:r>
        <w:rPr>
          <w:rFonts w:hint="eastAsia"/>
        </w:rPr>
        <w:t>我单位在进行绩效自评工作时，发现个别绩效指标设置不够合理，细化量化程度不足，自评结果不够十分准确。</w:t>
      </w:r>
    </w:p>
    <w:p>
      <w:pPr>
        <w:pStyle w:val="2"/>
      </w:pPr>
      <w:bookmarkStart w:id="54" w:name="_Toc27227"/>
      <w:bookmarkStart w:id="55" w:name="_Toc79333453"/>
      <w:bookmarkStart w:id="56" w:name="_Toc6382"/>
      <w:r>
        <w:rPr>
          <w:rFonts w:hint="eastAsia"/>
        </w:rPr>
        <w:t>五、建议</w:t>
      </w:r>
      <w:bookmarkEnd w:id="54"/>
      <w:bookmarkEnd w:id="55"/>
      <w:bookmarkEnd w:id="56"/>
    </w:p>
    <w:p>
      <w:pPr>
        <w:pStyle w:val="3"/>
      </w:pPr>
      <w:bookmarkStart w:id="57" w:name="_Toc18797"/>
      <w:bookmarkStart w:id="58" w:name="_Toc79333454"/>
      <w:r>
        <w:rPr>
          <w:rFonts w:hint="eastAsia"/>
        </w:rPr>
        <w:t>（一）强化预算绩效管理意识，提升项目产出效益</w:t>
      </w:r>
      <w:bookmarkEnd w:id="57"/>
      <w:bookmarkEnd w:id="58"/>
    </w:p>
    <w:p>
      <w:pPr>
        <w:ind w:firstLine="640"/>
        <w:rPr>
          <w:color w:val="000000" w:themeColor="text1"/>
          <w14:textFill>
            <w14:solidFill>
              <w14:schemeClr w14:val="tx1"/>
            </w14:solidFill>
          </w14:textFill>
        </w:rPr>
      </w:pPr>
      <w:bookmarkStart w:id="59" w:name="_Toc19326"/>
      <w:bookmarkStart w:id="60" w:name="_Toc79333455"/>
      <w:r>
        <w:rPr>
          <w:rFonts w:hint="eastAsia"/>
          <w:color w:val="000000" w:themeColor="text1"/>
          <w14:textFill>
            <w14:solidFill>
              <w14:schemeClr w14:val="tx1"/>
            </w14:solidFill>
          </w14:textFill>
        </w:rPr>
        <w:t>我单位应按照全面实施预算绩效管理工作要求：牢固树立预算绩效管理理念，加快推进全方位、全过程、全覆盖的预算绩效管理体系建设，积极推进全面实施预算绩效管理工作，提升预算绩效管理水平。</w:t>
      </w:r>
    </w:p>
    <w:p>
      <w:pPr>
        <w:pStyle w:val="3"/>
      </w:pPr>
      <w:r>
        <w:rPr>
          <w:rFonts w:hint="eastAsia"/>
        </w:rPr>
        <w:t>（二）加强学习培训，进一步提高绩效管理水平</w:t>
      </w:r>
      <w:bookmarkEnd w:id="59"/>
      <w:bookmarkEnd w:id="60"/>
    </w:p>
    <w:p>
      <w:pPr>
        <w:ind w:firstLine="640"/>
        <w:rPr>
          <w:highlight w:val="yellow"/>
        </w:rPr>
      </w:pPr>
      <w:r>
        <w:rPr>
          <w:rFonts w:hint="eastAsia"/>
        </w:rPr>
        <w:t>本次自评属我单位首次开展，通过本次自评，发现我单位整体绩效评价水平不够，为更好的开展以后绩效评价和项目管理工作，建议财政部门组织绩效管理专题培训会议。</w:t>
      </w:r>
    </w:p>
    <w:p>
      <w:pPr>
        <w:pStyle w:val="2"/>
      </w:pPr>
      <w:bookmarkStart w:id="61" w:name="_Toc665"/>
      <w:bookmarkStart w:id="62" w:name="_Toc6061"/>
      <w:bookmarkStart w:id="63" w:name="_Toc79333457"/>
      <w:r>
        <w:rPr>
          <w:rFonts w:hint="eastAsia"/>
        </w:rPr>
        <w:t>六、其他需要说明的问题</w:t>
      </w:r>
      <w:bookmarkEnd w:id="61"/>
      <w:bookmarkEnd w:id="62"/>
      <w:bookmarkEnd w:id="63"/>
    </w:p>
    <w:p>
      <w:pPr>
        <w:pStyle w:val="2"/>
        <w:ind w:firstLine="643" w:firstLineChars="200"/>
      </w:pPr>
      <w:r>
        <w:rPr>
          <w:rFonts w:hint="eastAsia"/>
        </w:rPr>
        <w:t>无</w:t>
      </w:r>
    </w:p>
    <w:p>
      <w:pPr>
        <w:ind w:firstLine="640"/>
      </w:pPr>
      <w:r>
        <w:rPr>
          <w:rFonts w:hint="eastAsia"/>
        </w:rPr>
        <w:t>附件一：项目绩效自评表</w:t>
      </w:r>
    </w:p>
    <w:p>
      <w:pPr>
        <w:ind w:firstLine="640"/>
        <w:sectPr>
          <w:footerReference r:id="rId12" w:type="default"/>
          <w:pgSz w:w="11906" w:h="16838"/>
          <w:pgMar w:top="1440" w:right="1800" w:bottom="1440" w:left="1800" w:header="851" w:footer="737" w:gutter="0"/>
          <w:pgNumType w:start="1"/>
          <w:cols w:space="0" w:num="1"/>
          <w:docGrid w:linePitch="312" w:charSpace="0"/>
        </w:sect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mZjIyNTI5NzI3YjY2ZDZiZWYyOTVhMmE2NTA2ZjQifQ=="/>
  </w:docVars>
  <w:rsids>
    <w:rsidRoot w:val="110F5083"/>
    <w:rsid w:val="110F5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unhideWhenUsed/>
    <w:qFormat/>
    <w:uiPriority w:val="9"/>
    <w:pPr>
      <w:keepNext/>
      <w:keepLines/>
      <w:ind w:firstLine="200"/>
      <w:jc w:val="left"/>
      <w:outlineLvl w:val="2"/>
    </w:pPr>
    <w:rPr>
      <w:rFonts w:ascii="宋体" w:hAnsi="宋体"/>
      <w:b/>
      <w:bCs/>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footer"/>
    <w:basedOn w:val="1"/>
    <w:unhideWhenUsed/>
    <w:qFormat/>
    <w:uiPriority w:val="99"/>
    <w:pPr>
      <w:tabs>
        <w:tab w:val="center" w:pos="4153"/>
        <w:tab w:val="right" w:pos="8306"/>
      </w:tabs>
      <w:spacing w:line="240" w:lineRule="auto"/>
      <w:ind w:firstLine="0" w:firstLineChars="0"/>
      <w:jc w:val="left"/>
    </w:pPr>
    <w:rPr>
      <w:sz w:val="28"/>
      <w:szCs w:val="2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7">
    <w:name w:val="toc 1"/>
    <w:basedOn w:val="1"/>
    <w:next w:val="1"/>
    <w:unhideWhenUsed/>
    <w:qFormat/>
    <w:uiPriority w:val="39"/>
    <w:pPr>
      <w:tabs>
        <w:tab w:val="right" w:leader="dot" w:pos="8296"/>
      </w:tabs>
      <w:ind w:firstLine="0" w:firstLineChars="0"/>
      <w:jc w:val="center"/>
    </w:pPr>
    <w:rPr>
      <w:b/>
    </w:rPr>
  </w:style>
  <w:style w:type="paragraph" w:styleId="8">
    <w:name w:val="toc 2"/>
    <w:basedOn w:val="1"/>
    <w:next w:val="1"/>
    <w:unhideWhenUsed/>
    <w:qFormat/>
    <w:uiPriority w:val="39"/>
    <w:pPr>
      <w:ind w:left="420" w:leftChars="200" w:firstLine="0" w:firstLineChars="0"/>
    </w:pPr>
  </w:style>
  <w:style w:type="paragraph" w:customStyle="1" w:styleId="11">
    <w:name w:val="昭元绩效"/>
    <w:basedOn w:val="1"/>
    <w:qFormat/>
    <w:uiPriority w:val="0"/>
    <w:pPr>
      <w:spacing w:line="360" w:lineRule="auto"/>
      <w:ind w:firstLine="0" w:firstLineChars="0"/>
      <w:jc w:val="center"/>
    </w:pPr>
    <w:rPr>
      <w:rFonts w:eastAsia="宋体"/>
      <w:b/>
      <w:bCs/>
      <w:sz w:val="44"/>
      <w:szCs w:val="44"/>
    </w:rPr>
  </w:style>
  <w:style w:type="paragraph" w:customStyle="1" w:styleId="12">
    <w:name w:val="版权所有"/>
    <w:basedOn w:val="1"/>
    <w:qFormat/>
    <w:uiPriority w:val="0"/>
    <w:pPr>
      <w:ind w:firstLine="0" w:firstLineChars="0"/>
      <w:jc w:val="center"/>
    </w:pPr>
  </w:style>
  <w:style w:type="paragraph" w:customStyle="1" w:styleId="13">
    <w:name w:val="表头"/>
    <w:basedOn w:val="1"/>
    <w:next w:val="1"/>
    <w:qFormat/>
    <w:uiPriority w:val="0"/>
    <w:pPr>
      <w:spacing w:before="100" w:after="100"/>
      <w:jc w:val="center"/>
    </w:pPr>
    <w:rPr>
      <w:rFonts w:ascii="Times New Roman" w:hAnsi="Times New Roman"/>
      <w:b/>
      <w:bCs/>
      <w:szCs w:val="28"/>
    </w:rPr>
  </w:style>
  <w:style w:type="paragraph" w:customStyle="1" w:styleId="14">
    <w:name w:val="表格"/>
    <w:basedOn w:val="1"/>
    <w:next w:val="1"/>
    <w:qFormat/>
    <w:uiPriority w:val="0"/>
    <w:pPr>
      <w:spacing w:line="240" w:lineRule="auto"/>
      <w:ind w:firstLine="0" w:firstLineChars="0"/>
      <w:jc w:val="center"/>
    </w:pPr>
    <w:rPr>
      <w:rFonts w:ascii="Times New Roman" w:hAnsi="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2022-08-29T08:58:00Z</dcterms:created>
  <dc:creator>若如初见</dc:creator>
  <cp:lastModifiedBy>若如初见</cp:lastModifiedBy>
  <cp:lastPrinted>2022-08-29T09:13:14Z</cp:lastPrinted>
  <dcterms:modified xsi:type="dcterms:W3CDTF">2022-08-29T09:18:25Z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5587374EA26E42408B36060DDAD20802</vt:lpwstr>
  </property>
</Properties>
</file>