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0" w:firstLineChars="0"/>
        <w:rPr>
          <w:rFonts w:ascii="华文仿宋" w:hAnsi="华文仿宋" w:eastAsia="华文仿宋" w:cs="华文仿宋"/>
          <w:b/>
          <w:bCs/>
          <w:szCs w:val="32"/>
        </w:rPr>
      </w:pPr>
    </w:p>
    <w:p>
      <w:pPr>
        <w:spacing w:line="580" w:lineRule="exact"/>
        <w:ind w:firstLine="0" w:firstLineChars="0"/>
        <w:jc w:val="center"/>
        <w:rPr>
          <w:rFonts w:ascii="宋体" w:hAnsi="宋体" w:eastAsia="宋体" w:cs="宋体"/>
          <w:b/>
          <w:bCs/>
          <w:sz w:val="52"/>
          <w:szCs w:val="52"/>
        </w:rPr>
      </w:pPr>
      <w:r>
        <w:rPr>
          <w:rFonts w:hint="eastAsia" w:ascii="宋体" w:hAnsi="宋体" w:eastAsia="宋体" w:cs="宋体"/>
          <w:b/>
          <w:bCs/>
          <w:sz w:val="52"/>
          <w:szCs w:val="52"/>
        </w:rPr>
        <w:t>部门整体支出绩效评价自评报告</w:t>
      </w:r>
    </w:p>
    <w:p>
      <w:pPr>
        <w:spacing w:line="580" w:lineRule="exact"/>
        <w:ind w:firstLine="0" w:firstLineChars="0"/>
        <w:jc w:val="center"/>
        <w:rPr>
          <w:rFonts w:ascii="仿宋" w:hAnsi="仿宋" w:cs="仿宋"/>
          <w:szCs w:val="32"/>
        </w:rPr>
      </w:pPr>
      <w:r>
        <w:rPr>
          <w:rFonts w:hint="eastAsia" w:ascii="仿宋" w:hAnsi="仿宋" w:cs="仿宋"/>
          <w:szCs w:val="32"/>
        </w:rPr>
        <w:t>（2021年度）</w:t>
      </w:r>
    </w:p>
    <w:p>
      <w:pPr>
        <w:spacing w:line="240" w:lineRule="auto"/>
        <w:ind w:firstLine="0" w:firstLineChars="0"/>
        <w:jc w:val="center"/>
        <w:rPr>
          <w:rFonts w:ascii="华文仿宋" w:hAnsi="华文仿宋" w:eastAsia="华文仿宋" w:cs="华文仿宋"/>
          <w:szCs w:val="32"/>
        </w:rPr>
      </w:pPr>
    </w:p>
    <w:p>
      <w:pPr>
        <w:spacing w:line="240" w:lineRule="auto"/>
        <w:ind w:firstLine="0" w:firstLineChars="0"/>
        <w:jc w:val="center"/>
        <w:rPr>
          <w:rFonts w:ascii="华文仿宋" w:hAnsi="华文仿宋" w:eastAsia="华文仿宋" w:cs="华文仿宋"/>
          <w:szCs w:val="32"/>
        </w:rPr>
      </w:pPr>
    </w:p>
    <w:p>
      <w:pPr>
        <w:spacing w:line="240" w:lineRule="auto"/>
        <w:ind w:firstLine="0" w:firstLineChars="0"/>
        <w:jc w:val="center"/>
        <w:rPr>
          <w:rFonts w:ascii="华文仿宋" w:hAnsi="华文仿宋" w:eastAsia="华文仿宋" w:cs="华文仿宋"/>
          <w:szCs w:val="32"/>
        </w:rPr>
      </w:pPr>
    </w:p>
    <w:p>
      <w:pPr>
        <w:spacing w:line="240" w:lineRule="auto"/>
        <w:ind w:firstLine="0" w:firstLineChars="0"/>
        <w:jc w:val="center"/>
        <w:rPr>
          <w:rFonts w:ascii="华文仿宋" w:hAnsi="华文仿宋" w:eastAsia="华文仿宋" w:cs="华文仿宋"/>
          <w:szCs w:val="32"/>
        </w:rPr>
      </w:pPr>
    </w:p>
    <w:p>
      <w:pPr>
        <w:pStyle w:val="2"/>
        <w:ind w:firstLine="640"/>
      </w:pPr>
    </w:p>
    <w:p>
      <w:pPr>
        <w:spacing w:line="580" w:lineRule="exact"/>
        <w:ind w:firstLine="0" w:firstLineChars="0"/>
        <w:rPr>
          <w:rFonts w:ascii="华文仿宋" w:hAnsi="华文仿宋" w:eastAsia="华文仿宋" w:cs="华文仿宋"/>
          <w:szCs w:val="32"/>
        </w:rPr>
      </w:pPr>
    </w:p>
    <w:p>
      <w:pPr>
        <w:spacing w:line="580" w:lineRule="exact"/>
        <w:ind w:firstLine="0" w:firstLineChars="0"/>
        <w:rPr>
          <w:rFonts w:ascii="华文仿宋" w:hAnsi="华文仿宋" w:eastAsia="华文仿宋" w:cs="华文仿宋"/>
          <w:szCs w:val="32"/>
          <w:u w:val="single"/>
        </w:rPr>
      </w:pPr>
      <w:r>
        <w:rPr>
          <w:rFonts w:hint="eastAsia" w:ascii="华文仿宋" w:hAnsi="华文仿宋" w:eastAsia="华文仿宋" w:cs="华文仿宋"/>
          <w:szCs w:val="32"/>
        </w:rPr>
        <w:t>部门（单位）全称：</w:t>
      </w:r>
      <w:r>
        <w:rPr>
          <w:rFonts w:hint="eastAsia" w:ascii="华文仿宋" w:hAnsi="华文仿宋" w:eastAsia="华文仿宋" w:cs="华文仿宋"/>
          <w:szCs w:val="32"/>
          <w:u w:val="single"/>
        </w:rPr>
        <w:t xml:space="preserve">                         （公章）</w:t>
      </w:r>
    </w:p>
    <w:p>
      <w:pPr>
        <w:spacing w:line="580" w:lineRule="exact"/>
        <w:ind w:firstLine="0" w:firstLineChars="0"/>
        <w:rPr>
          <w:rFonts w:ascii="华文仿宋" w:hAnsi="华文仿宋" w:eastAsia="华文仿宋" w:cs="华文仿宋"/>
          <w:szCs w:val="32"/>
          <w:u w:val="single"/>
        </w:rPr>
      </w:pPr>
    </w:p>
    <w:p>
      <w:pPr>
        <w:spacing w:line="580" w:lineRule="exact"/>
        <w:ind w:firstLine="0" w:firstLineChars="0"/>
        <w:rPr>
          <w:rFonts w:ascii="华文仿宋" w:hAnsi="华文仿宋" w:eastAsia="华文仿宋" w:cs="华文仿宋"/>
          <w:szCs w:val="32"/>
          <w:u w:val="single"/>
        </w:rPr>
      </w:pPr>
      <w:r>
        <w:rPr>
          <w:rFonts w:hint="eastAsia" w:ascii="华文仿宋" w:hAnsi="华文仿宋" w:eastAsia="华文仿宋" w:cs="华文仿宋"/>
          <w:szCs w:val="32"/>
        </w:rPr>
        <w:t xml:space="preserve">绩效评价基准日： </w:t>
      </w:r>
      <w:r>
        <w:rPr>
          <w:rFonts w:hint="eastAsia" w:ascii="华文仿宋" w:hAnsi="华文仿宋" w:eastAsia="华文仿宋" w:cs="华文仿宋"/>
          <w:szCs w:val="32"/>
          <w:u w:val="single"/>
        </w:rPr>
        <w:t xml:space="preserve">         2021年12月31日         </w:t>
      </w:r>
    </w:p>
    <w:p>
      <w:pPr>
        <w:spacing w:line="580" w:lineRule="exact"/>
        <w:ind w:firstLine="0" w:firstLineChars="0"/>
        <w:rPr>
          <w:rFonts w:ascii="华文仿宋" w:hAnsi="华文仿宋" w:eastAsia="华文仿宋" w:cs="华文仿宋"/>
          <w:szCs w:val="32"/>
          <w:u w:val="single"/>
        </w:rPr>
      </w:pPr>
    </w:p>
    <w:p>
      <w:pPr>
        <w:spacing w:line="580" w:lineRule="exact"/>
        <w:ind w:firstLine="0" w:firstLineChars="0"/>
        <w:rPr>
          <w:rFonts w:ascii="华文仿宋" w:hAnsi="华文仿宋" w:eastAsia="华文仿宋" w:cs="华文仿宋"/>
          <w:szCs w:val="32"/>
          <w:u w:val="single"/>
        </w:rPr>
      </w:pPr>
    </w:p>
    <w:p>
      <w:pPr>
        <w:spacing w:line="580" w:lineRule="exact"/>
        <w:ind w:firstLine="0" w:firstLineChars="0"/>
        <w:rPr>
          <w:rFonts w:ascii="华文仿宋" w:hAnsi="华文仿宋" w:eastAsia="华文仿宋" w:cs="华文仿宋"/>
          <w:szCs w:val="32"/>
          <w:u w:val="single"/>
        </w:rPr>
      </w:pPr>
      <w:r>
        <w:rPr>
          <w:rFonts w:hint="eastAsia" w:ascii="华文仿宋" w:hAnsi="华文仿宋" w:eastAsia="华文仿宋" w:cs="华文仿宋"/>
          <w:szCs w:val="32"/>
        </w:rPr>
        <w:t>主管部门审核意见：</w:t>
      </w:r>
      <w:bookmarkStart w:id="0" w:name="_Hlk42768429"/>
      <w:r>
        <w:rPr>
          <w:rFonts w:hint="eastAsia" w:ascii="华文仿宋" w:hAnsi="华文仿宋" w:eastAsia="华文仿宋" w:cs="华文仿宋"/>
          <w:szCs w:val="32"/>
          <w:u w:val="single"/>
        </w:rPr>
        <w:t xml:space="preserve">                                 </w:t>
      </w:r>
      <w:bookmarkEnd w:id="0"/>
    </w:p>
    <w:p>
      <w:pPr>
        <w:spacing w:line="580" w:lineRule="exact"/>
        <w:ind w:firstLine="0" w:firstLineChars="0"/>
        <w:rPr>
          <w:rFonts w:ascii="华文仿宋" w:hAnsi="华文仿宋" w:eastAsia="华文仿宋" w:cs="华文仿宋"/>
          <w:szCs w:val="32"/>
          <w:u w:val="single"/>
        </w:rPr>
      </w:pPr>
    </w:p>
    <w:p>
      <w:pPr>
        <w:spacing w:line="700" w:lineRule="exact"/>
        <w:ind w:firstLine="0" w:firstLineChars="0"/>
        <w:jc w:val="center"/>
        <w:rPr>
          <w:rFonts w:ascii="华文仿宋" w:hAnsi="华文仿宋" w:eastAsia="华文仿宋" w:cs="华文仿宋"/>
          <w:szCs w:val="32"/>
        </w:rPr>
      </w:pPr>
    </w:p>
    <w:p>
      <w:pPr>
        <w:spacing w:line="700" w:lineRule="exact"/>
        <w:ind w:firstLine="0" w:firstLineChars="0"/>
        <w:rPr>
          <w:rFonts w:ascii="华文仿宋" w:hAnsi="华文仿宋" w:eastAsia="华文仿宋" w:cs="华文仿宋"/>
          <w:szCs w:val="32"/>
          <w:u w:val="single"/>
        </w:rPr>
      </w:pPr>
      <w:r>
        <w:rPr>
          <w:rFonts w:hint="eastAsia" w:ascii="华文仿宋" w:hAnsi="华文仿宋" w:eastAsia="华文仿宋" w:cs="华文仿宋"/>
          <w:szCs w:val="32"/>
        </w:rPr>
        <w:t>财政部门审核意见：</w:t>
      </w:r>
      <w:r>
        <w:rPr>
          <w:rFonts w:hint="eastAsia" w:ascii="华文仿宋" w:hAnsi="华文仿宋" w:eastAsia="华文仿宋" w:cs="华文仿宋"/>
          <w:szCs w:val="32"/>
          <w:u w:val="single"/>
        </w:rPr>
        <w:t xml:space="preserve">                                 </w:t>
      </w:r>
    </w:p>
    <w:p>
      <w:pPr>
        <w:spacing w:line="700" w:lineRule="exact"/>
        <w:ind w:firstLine="0" w:firstLineChars="0"/>
        <w:rPr>
          <w:rFonts w:ascii="华文仿宋" w:hAnsi="华文仿宋" w:eastAsia="华文仿宋" w:cs="华文仿宋"/>
          <w:szCs w:val="32"/>
        </w:rPr>
      </w:pPr>
    </w:p>
    <w:p>
      <w:pPr>
        <w:spacing w:line="700" w:lineRule="exact"/>
        <w:ind w:firstLine="0" w:firstLineChars="0"/>
        <w:jc w:val="center"/>
        <w:rPr>
          <w:rFonts w:ascii="华文仿宋" w:hAnsi="华文仿宋" w:eastAsia="华文仿宋" w:cs="华文仿宋"/>
          <w:szCs w:val="32"/>
        </w:rPr>
      </w:pPr>
      <w:r>
        <w:rPr>
          <w:rFonts w:hint="eastAsia" w:ascii="华文仿宋" w:hAnsi="华文仿宋" w:eastAsia="华文仿宋" w:cs="华文仿宋"/>
          <w:szCs w:val="32"/>
        </w:rPr>
        <w:t>填报日期:     年     月     日</w:t>
      </w:r>
    </w:p>
    <w:p>
      <w:pPr>
        <w:pStyle w:val="18"/>
        <w:ind w:firstLine="640"/>
        <w:rPr>
          <w:rFonts w:hint="default"/>
        </w:rPr>
      </w:pPr>
    </w:p>
    <w:p>
      <w:pPr>
        <w:pStyle w:val="18"/>
        <w:ind w:firstLine="640"/>
        <w:rPr>
          <w:rFonts w:hint="default"/>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737" w:gutter="0"/>
          <w:pgNumType w:fmt="upperRoman" w:start="1"/>
          <w:cols w:space="0" w:num="1"/>
          <w:docGrid w:linePitch="312" w:charSpace="0"/>
        </w:sectPr>
      </w:pPr>
    </w:p>
    <w:p>
      <w:pPr>
        <w:pStyle w:val="18"/>
        <w:ind w:firstLine="0" w:firstLineChars="0"/>
        <w:jc w:val="center"/>
        <w:rPr>
          <w:rFonts w:hint="default"/>
          <w:b/>
          <w:bCs/>
          <w:sz w:val="36"/>
          <w:szCs w:val="36"/>
        </w:rPr>
      </w:pPr>
      <w:bookmarkStart w:id="1" w:name="_Toc27722"/>
      <w:r>
        <w:rPr>
          <w:b/>
          <w:bCs/>
          <w:sz w:val="36"/>
          <w:szCs w:val="36"/>
        </w:rPr>
        <w:t>目  录</w:t>
      </w:r>
    </w:p>
    <w:p>
      <w:pPr>
        <w:pStyle w:val="9"/>
        <w:tabs>
          <w:tab w:val="right" w:leader="dot" w:pos="8306"/>
        </w:tabs>
      </w:pPr>
      <w:r>
        <w:rPr>
          <w:rFonts w:hint="eastAsia"/>
        </w:rPr>
        <w:fldChar w:fldCharType="begin"/>
      </w:r>
      <w:r>
        <w:rPr>
          <w:rFonts w:hint="eastAsia"/>
        </w:rPr>
        <w:instrText xml:space="preserve">TOC \o "1-2" \h \u </w:instrText>
      </w:r>
      <w:r>
        <w:rPr>
          <w:rFonts w:hint="eastAsia"/>
        </w:rPr>
        <w:fldChar w:fldCharType="separate"/>
      </w:r>
      <w:r>
        <w:fldChar w:fldCharType="begin"/>
      </w:r>
      <w:r>
        <w:instrText xml:space="preserve"> HYPERLINK \l "_Toc3240" </w:instrText>
      </w:r>
      <w:r>
        <w:fldChar w:fldCharType="separate"/>
      </w:r>
      <w:r>
        <w:rPr>
          <w:rFonts w:hint="eastAsia"/>
        </w:rPr>
        <w:t>一、基本情况</w:t>
      </w:r>
      <w:r>
        <w:tab/>
      </w:r>
      <w:r>
        <w:fldChar w:fldCharType="begin"/>
      </w:r>
      <w:r>
        <w:instrText xml:space="preserve"> PAGEREF _Toc3240 \h </w:instrText>
      </w:r>
      <w:r>
        <w:fldChar w:fldCharType="separate"/>
      </w:r>
      <w:r>
        <w:t>2</w:t>
      </w:r>
      <w:r>
        <w:fldChar w:fldCharType="end"/>
      </w:r>
      <w:r>
        <w:fldChar w:fldCharType="end"/>
      </w:r>
    </w:p>
    <w:p>
      <w:pPr>
        <w:pStyle w:val="10"/>
        <w:tabs>
          <w:tab w:val="right" w:leader="dot" w:pos="8306"/>
        </w:tabs>
        <w:ind w:left="640"/>
      </w:pPr>
      <w:r>
        <w:fldChar w:fldCharType="begin"/>
      </w:r>
      <w:r>
        <w:instrText xml:space="preserve"> HYPERLINK \l "_Toc14104" </w:instrText>
      </w:r>
      <w:r>
        <w:fldChar w:fldCharType="separate"/>
      </w:r>
      <w:r>
        <w:rPr>
          <w:rFonts w:hint="eastAsia"/>
        </w:rPr>
        <w:t>（一）单位简介</w:t>
      </w:r>
      <w:r>
        <w:tab/>
      </w:r>
      <w:r>
        <w:fldChar w:fldCharType="begin"/>
      </w:r>
      <w:r>
        <w:instrText xml:space="preserve"> PAGEREF _Toc14104 \h </w:instrText>
      </w:r>
      <w:r>
        <w:fldChar w:fldCharType="separate"/>
      </w:r>
      <w:r>
        <w:t>2</w:t>
      </w:r>
      <w:r>
        <w:fldChar w:fldCharType="end"/>
      </w:r>
      <w:r>
        <w:fldChar w:fldCharType="end"/>
      </w:r>
    </w:p>
    <w:p>
      <w:pPr>
        <w:pStyle w:val="10"/>
        <w:tabs>
          <w:tab w:val="right" w:leader="dot" w:pos="8306"/>
        </w:tabs>
        <w:ind w:left="640"/>
      </w:pPr>
      <w:r>
        <w:fldChar w:fldCharType="begin"/>
      </w:r>
      <w:r>
        <w:instrText xml:space="preserve"> HYPERLINK \l "_Toc27471" </w:instrText>
      </w:r>
      <w:r>
        <w:fldChar w:fldCharType="separate"/>
      </w:r>
      <w:r>
        <w:rPr>
          <w:rFonts w:hint="eastAsia"/>
        </w:rPr>
        <w:t>（二）</w:t>
      </w:r>
      <w:r>
        <w:t>年度部门总目标及主要任务</w:t>
      </w:r>
      <w:r>
        <w:tab/>
      </w:r>
      <w:r>
        <w:fldChar w:fldCharType="begin"/>
      </w:r>
      <w:r>
        <w:instrText xml:space="preserve"> PAGEREF _Toc27471 \h </w:instrText>
      </w:r>
      <w:r>
        <w:fldChar w:fldCharType="separate"/>
      </w:r>
      <w:r>
        <w:t>2</w:t>
      </w:r>
      <w:r>
        <w:fldChar w:fldCharType="end"/>
      </w:r>
      <w:r>
        <w:fldChar w:fldCharType="end"/>
      </w:r>
    </w:p>
    <w:p>
      <w:pPr>
        <w:pStyle w:val="9"/>
        <w:tabs>
          <w:tab w:val="right" w:leader="dot" w:pos="8306"/>
        </w:tabs>
      </w:pPr>
      <w:r>
        <w:fldChar w:fldCharType="begin"/>
      </w:r>
      <w:r>
        <w:instrText xml:space="preserve"> HYPERLINK \l "_Toc31554" </w:instrText>
      </w:r>
      <w:r>
        <w:fldChar w:fldCharType="separate"/>
      </w:r>
      <w:r>
        <w:rPr>
          <w:rFonts w:hint="eastAsia"/>
        </w:rPr>
        <w:t>二</w:t>
      </w:r>
      <w:r>
        <w:t>、绩效自评工作开展情况</w:t>
      </w:r>
      <w:r>
        <w:tab/>
      </w:r>
      <w:r>
        <w:fldChar w:fldCharType="begin"/>
      </w:r>
      <w:r>
        <w:instrText xml:space="preserve"> PAGEREF _Toc31554 \h </w:instrText>
      </w:r>
      <w:r>
        <w:fldChar w:fldCharType="separate"/>
      </w:r>
      <w:r>
        <w:t>4</w:t>
      </w:r>
      <w:r>
        <w:fldChar w:fldCharType="end"/>
      </w:r>
      <w:r>
        <w:fldChar w:fldCharType="end"/>
      </w:r>
    </w:p>
    <w:p>
      <w:pPr>
        <w:pStyle w:val="10"/>
        <w:tabs>
          <w:tab w:val="right" w:leader="dot" w:pos="8306"/>
        </w:tabs>
        <w:ind w:left="640"/>
      </w:pPr>
      <w:r>
        <w:fldChar w:fldCharType="begin"/>
      </w:r>
      <w:r>
        <w:instrText xml:space="preserve"> HYPERLINK \l "_Toc12307" </w:instrText>
      </w:r>
      <w:r>
        <w:fldChar w:fldCharType="separate"/>
      </w:r>
      <w:r>
        <w:rPr>
          <w:rFonts w:hint="eastAsia"/>
        </w:rPr>
        <w:t>（一）评价方法</w:t>
      </w:r>
      <w:r>
        <w:tab/>
      </w:r>
      <w:r>
        <w:fldChar w:fldCharType="begin"/>
      </w:r>
      <w:r>
        <w:instrText xml:space="preserve"> PAGEREF _Toc12307 \h </w:instrText>
      </w:r>
      <w:r>
        <w:fldChar w:fldCharType="separate"/>
      </w:r>
      <w:r>
        <w:t>4</w:t>
      </w:r>
      <w:r>
        <w:fldChar w:fldCharType="end"/>
      </w:r>
      <w:r>
        <w:fldChar w:fldCharType="end"/>
      </w:r>
    </w:p>
    <w:p>
      <w:pPr>
        <w:pStyle w:val="10"/>
        <w:tabs>
          <w:tab w:val="right" w:leader="dot" w:pos="8306"/>
        </w:tabs>
        <w:ind w:left="640"/>
      </w:pPr>
      <w:r>
        <w:fldChar w:fldCharType="begin"/>
      </w:r>
      <w:r>
        <w:instrText xml:space="preserve"> HYPERLINK \l "_Toc25686" </w:instrText>
      </w:r>
      <w:r>
        <w:fldChar w:fldCharType="separate"/>
      </w:r>
      <w:r>
        <w:rPr>
          <w:rFonts w:hint="eastAsia"/>
        </w:rPr>
        <w:t>（二）工作程序</w:t>
      </w:r>
      <w:r>
        <w:tab/>
      </w:r>
      <w:r>
        <w:fldChar w:fldCharType="begin"/>
      </w:r>
      <w:r>
        <w:instrText xml:space="preserve"> PAGEREF _Toc25686 \h </w:instrText>
      </w:r>
      <w:r>
        <w:fldChar w:fldCharType="separate"/>
      </w:r>
      <w:r>
        <w:t>5</w:t>
      </w:r>
      <w:r>
        <w:fldChar w:fldCharType="end"/>
      </w:r>
      <w:r>
        <w:fldChar w:fldCharType="end"/>
      </w:r>
    </w:p>
    <w:p>
      <w:pPr>
        <w:pStyle w:val="9"/>
        <w:tabs>
          <w:tab w:val="right" w:leader="dot" w:pos="8306"/>
        </w:tabs>
      </w:pPr>
      <w:r>
        <w:fldChar w:fldCharType="begin"/>
      </w:r>
      <w:r>
        <w:instrText xml:space="preserve"> HYPERLINK \l "_Toc3418" </w:instrText>
      </w:r>
      <w:r>
        <w:fldChar w:fldCharType="separate"/>
      </w:r>
      <w:r>
        <w:rPr>
          <w:rFonts w:hint="eastAsia"/>
        </w:rPr>
        <w:t>三</w:t>
      </w:r>
      <w:r>
        <w:t>、综合评价结论</w:t>
      </w:r>
      <w:r>
        <w:tab/>
      </w:r>
      <w:r>
        <w:fldChar w:fldCharType="begin"/>
      </w:r>
      <w:r>
        <w:instrText xml:space="preserve"> PAGEREF _Toc3418 \h </w:instrText>
      </w:r>
      <w:r>
        <w:fldChar w:fldCharType="separate"/>
      </w:r>
      <w:r>
        <w:t>5</w:t>
      </w:r>
      <w:r>
        <w:fldChar w:fldCharType="end"/>
      </w:r>
      <w:r>
        <w:fldChar w:fldCharType="end"/>
      </w:r>
    </w:p>
    <w:p>
      <w:pPr>
        <w:pStyle w:val="9"/>
        <w:tabs>
          <w:tab w:val="right" w:leader="dot" w:pos="8306"/>
        </w:tabs>
      </w:pPr>
      <w:r>
        <w:fldChar w:fldCharType="begin"/>
      </w:r>
      <w:r>
        <w:instrText xml:space="preserve"> HYPERLINK \l "_Toc18202" </w:instrText>
      </w:r>
      <w:r>
        <w:fldChar w:fldCharType="separate"/>
      </w:r>
      <w:r>
        <w:rPr>
          <w:rFonts w:hint="eastAsia"/>
        </w:rPr>
        <w:t>四、</w:t>
      </w:r>
      <w:r>
        <w:t>绩效目标实现情况分析</w:t>
      </w:r>
      <w:r>
        <w:tab/>
      </w:r>
      <w:r>
        <w:fldChar w:fldCharType="begin"/>
      </w:r>
      <w:r>
        <w:instrText xml:space="preserve"> PAGEREF _Toc18202 \h </w:instrText>
      </w:r>
      <w:r>
        <w:fldChar w:fldCharType="separate"/>
      </w:r>
      <w:r>
        <w:t>8</w:t>
      </w:r>
      <w:r>
        <w:fldChar w:fldCharType="end"/>
      </w:r>
      <w:r>
        <w:fldChar w:fldCharType="end"/>
      </w:r>
    </w:p>
    <w:p>
      <w:pPr>
        <w:pStyle w:val="10"/>
        <w:tabs>
          <w:tab w:val="right" w:leader="dot" w:pos="8306"/>
        </w:tabs>
        <w:ind w:left="640"/>
      </w:pPr>
      <w:r>
        <w:fldChar w:fldCharType="begin"/>
      </w:r>
      <w:r>
        <w:instrText xml:space="preserve"> HYPERLINK \l "_Toc10468" </w:instrText>
      </w:r>
      <w:r>
        <w:fldChar w:fldCharType="separate"/>
      </w:r>
      <w:r>
        <w:rPr>
          <w:rFonts w:hint="eastAsia"/>
        </w:rPr>
        <w:t>（</w:t>
      </w:r>
      <w:r>
        <w:t>一</w:t>
      </w:r>
      <w:r>
        <w:rPr>
          <w:rFonts w:hint="eastAsia"/>
        </w:rPr>
        <w:t>）</w:t>
      </w:r>
      <w:r>
        <w:t>部门资金情况分析</w:t>
      </w:r>
      <w:r>
        <w:tab/>
      </w:r>
      <w:r>
        <w:fldChar w:fldCharType="begin"/>
      </w:r>
      <w:r>
        <w:instrText xml:space="preserve"> PAGEREF _Toc10468 \h </w:instrText>
      </w:r>
      <w:r>
        <w:fldChar w:fldCharType="separate"/>
      </w:r>
      <w:r>
        <w:t>8</w:t>
      </w:r>
      <w:r>
        <w:fldChar w:fldCharType="end"/>
      </w:r>
      <w:r>
        <w:fldChar w:fldCharType="end"/>
      </w:r>
    </w:p>
    <w:p>
      <w:pPr>
        <w:pStyle w:val="10"/>
        <w:tabs>
          <w:tab w:val="right" w:leader="dot" w:pos="8306"/>
        </w:tabs>
        <w:ind w:left="640"/>
      </w:pPr>
      <w:r>
        <w:fldChar w:fldCharType="begin"/>
      </w:r>
      <w:r>
        <w:instrText xml:space="preserve"> HYPERLINK \l "_Toc3607" </w:instrText>
      </w:r>
      <w:r>
        <w:fldChar w:fldCharType="separate"/>
      </w:r>
      <w:r>
        <w:rPr>
          <w:rFonts w:hint="eastAsia"/>
        </w:rPr>
        <w:t>（</w:t>
      </w:r>
      <w:r>
        <w:t>二</w:t>
      </w:r>
      <w:r>
        <w:rPr>
          <w:rFonts w:hint="eastAsia"/>
        </w:rPr>
        <w:t>）</w:t>
      </w:r>
      <w:r>
        <w:t>项目绩效指标完成情况分析</w:t>
      </w:r>
      <w:r>
        <w:tab/>
      </w:r>
      <w:r>
        <w:fldChar w:fldCharType="begin"/>
      </w:r>
      <w:r>
        <w:instrText xml:space="preserve"> PAGEREF _Toc3607 \h </w:instrText>
      </w:r>
      <w:r>
        <w:fldChar w:fldCharType="separate"/>
      </w:r>
      <w:r>
        <w:t>8</w:t>
      </w:r>
      <w:r>
        <w:fldChar w:fldCharType="end"/>
      </w:r>
      <w:r>
        <w:fldChar w:fldCharType="end"/>
      </w:r>
    </w:p>
    <w:p>
      <w:pPr>
        <w:pStyle w:val="9"/>
        <w:tabs>
          <w:tab w:val="right" w:leader="dot" w:pos="8306"/>
        </w:tabs>
      </w:pPr>
      <w:r>
        <w:fldChar w:fldCharType="begin"/>
      </w:r>
      <w:r>
        <w:instrText xml:space="preserve"> HYPERLINK \l "_Toc22457" </w:instrText>
      </w:r>
      <w:r>
        <w:fldChar w:fldCharType="separate"/>
      </w:r>
      <w:r>
        <w:t>五、发现的主要问题和改进措施</w:t>
      </w:r>
      <w:r>
        <w:tab/>
      </w:r>
      <w:r>
        <w:fldChar w:fldCharType="begin"/>
      </w:r>
      <w:r>
        <w:instrText xml:space="preserve"> PAGEREF _Toc22457 \h </w:instrText>
      </w:r>
      <w:r>
        <w:fldChar w:fldCharType="separate"/>
      </w:r>
      <w:r>
        <w:t>13</w:t>
      </w:r>
      <w:r>
        <w:fldChar w:fldCharType="end"/>
      </w:r>
      <w:r>
        <w:fldChar w:fldCharType="end"/>
      </w:r>
    </w:p>
    <w:p>
      <w:pPr>
        <w:pStyle w:val="10"/>
        <w:tabs>
          <w:tab w:val="right" w:leader="dot" w:pos="8306"/>
        </w:tabs>
        <w:ind w:left="640"/>
      </w:pPr>
      <w:r>
        <w:fldChar w:fldCharType="begin"/>
      </w:r>
      <w:r>
        <w:instrText xml:space="preserve"> HYPERLINK \l "_Toc1104" </w:instrText>
      </w:r>
      <w:r>
        <w:fldChar w:fldCharType="separate"/>
      </w:r>
      <w:r>
        <w:rPr>
          <w:rFonts w:hint="eastAsia"/>
        </w:rPr>
        <w:t>（一）</w:t>
      </w:r>
      <w:r>
        <w:t>发现的主要问题</w:t>
      </w:r>
      <w:r>
        <w:tab/>
      </w:r>
      <w:r>
        <w:fldChar w:fldCharType="begin"/>
      </w:r>
      <w:r>
        <w:instrText xml:space="preserve"> PAGEREF _Toc1104 \h </w:instrText>
      </w:r>
      <w:r>
        <w:fldChar w:fldCharType="separate"/>
      </w:r>
      <w:r>
        <w:t>13</w:t>
      </w:r>
      <w:r>
        <w:fldChar w:fldCharType="end"/>
      </w:r>
      <w:r>
        <w:fldChar w:fldCharType="end"/>
      </w:r>
    </w:p>
    <w:p>
      <w:pPr>
        <w:pStyle w:val="10"/>
        <w:tabs>
          <w:tab w:val="right" w:leader="dot" w:pos="8306"/>
        </w:tabs>
        <w:ind w:left="640"/>
      </w:pPr>
      <w:r>
        <w:fldChar w:fldCharType="begin"/>
      </w:r>
      <w:r>
        <w:instrText xml:space="preserve"> HYPERLINK \l "_Toc17027" </w:instrText>
      </w:r>
      <w:r>
        <w:fldChar w:fldCharType="separate"/>
      </w:r>
      <w:r>
        <w:rPr>
          <w:rFonts w:hint="eastAsia"/>
        </w:rPr>
        <w:t>（二）</w:t>
      </w:r>
      <w:r>
        <w:rPr>
          <w:lang w:val="zh-CN"/>
        </w:rPr>
        <w:t>下一步改进措施</w:t>
      </w:r>
      <w:r>
        <w:tab/>
      </w:r>
      <w:r>
        <w:fldChar w:fldCharType="begin"/>
      </w:r>
      <w:r>
        <w:instrText xml:space="preserve"> PAGEREF _Toc17027 \h </w:instrText>
      </w:r>
      <w:r>
        <w:fldChar w:fldCharType="separate"/>
      </w:r>
      <w:r>
        <w:t>13</w:t>
      </w:r>
      <w:r>
        <w:fldChar w:fldCharType="end"/>
      </w:r>
      <w:r>
        <w:fldChar w:fldCharType="end"/>
      </w:r>
    </w:p>
    <w:p>
      <w:pPr>
        <w:pStyle w:val="10"/>
        <w:tabs>
          <w:tab w:val="right" w:leader="dot" w:pos="8306"/>
        </w:tabs>
        <w:ind w:left="640"/>
      </w:pPr>
      <w:r>
        <w:fldChar w:fldCharType="begin"/>
      </w:r>
      <w:r>
        <w:instrText xml:space="preserve"> HYPERLINK \l "_Toc23218" </w:instrText>
      </w:r>
      <w:r>
        <w:fldChar w:fldCharType="separate"/>
      </w:r>
      <w:r>
        <w:rPr>
          <w:rFonts w:hint="eastAsia"/>
        </w:rPr>
        <w:t>（三）绩效自评结果应用</w:t>
      </w:r>
      <w:r>
        <w:tab/>
      </w:r>
      <w:r>
        <w:fldChar w:fldCharType="begin"/>
      </w:r>
      <w:r>
        <w:instrText xml:space="preserve"> PAGEREF _Toc23218 \h </w:instrText>
      </w:r>
      <w:r>
        <w:fldChar w:fldCharType="separate"/>
      </w:r>
      <w:r>
        <w:t>13</w:t>
      </w:r>
      <w:r>
        <w:fldChar w:fldCharType="end"/>
      </w:r>
      <w:r>
        <w:fldChar w:fldCharType="end"/>
      </w:r>
    </w:p>
    <w:p>
      <w:pPr>
        <w:pStyle w:val="9"/>
        <w:tabs>
          <w:tab w:val="right" w:leader="dot" w:pos="8306"/>
        </w:tabs>
      </w:pPr>
      <w:r>
        <w:fldChar w:fldCharType="begin"/>
      </w:r>
      <w:r>
        <w:instrText xml:space="preserve"> HYPERLINK \l "_Toc32190" </w:instrText>
      </w:r>
      <w:r>
        <w:fldChar w:fldCharType="separate"/>
      </w:r>
      <w:r>
        <w:rPr>
          <w:rFonts w:hint="eastAsia"/>
        </w:rPr>
        <w:t>六、有关建议</w:t>
      </w:r>
      <w:r>
        <w:tab/>
      </w:r>
      <w:r>
        <w:fldChar w:fldCharType="begin"/>
      </w:r>
      <w:r>
        <w:instrText xml:space="preserve"> PAGEREF _Toc32190 \h </w:instrText>
      </w:r>
      <w:r>
        <w:fldChar w:fldCharType="separate"/>
      </w:r>
      <w:r>
        <w:t>13</w:t>
      </w:r>
      <w:r>
        <w:fldChar w:fldCharType="end"/>
      </w:r>
      <w:r>
        <w:fldChar w:fldCharType="end"/>
      </w:r>
    </w:p>
    <w:p>
      <w:pPr>
        <w:pStyle w:val="9"/>
        <w:tabs>
          <w:tab w:val="right" w:leader="dot" w:pos="8306"/>
        </w:tabs>
      </w:pPr>
      <w:r>
        <w:fldChar w:fldCharType="begin"/>
      </w:r>
      <w:r>
        <w:instrText xml:space="preserve"> HYPERLINK \l "_Toc26117" </w:instrText>
      </w:r>
      <w:r>
        <w:fldChar w:fldCharType="separate"/>
      </w:r>
      <w:r>
        <w:t>七、</w:t>
      </w:r>
      <w:r>
        <w:rPr>
          <w:rFonts w:hint="eastAsia"/>
        </w:rPr>
        <w:t>其他需要说明的问题</w:t>
      </w:r>
      <w:r>
        <w:tab/>
      </w:r>
      <w:r>
        <w:fldChar w:fldCharType="begin"/>
      </w:r>
      <w:r>
        <w:instrText xml:space="preserve"> PAGEREF _Toc26117 \h </w:instrText>
      </w:r>
      <w:r>
        <w:fldChar w:fldCharType="separate"/>
      </w:r>
      <w:r>
        <w:t>14</w:t>
      </w:r>
      <w:r>
        <w:fldChar w:fldCharType="end"/>
      </w:r>
      <w:r>
        <w:fldChar w:fldCharType="end"/>
      </w:r>
    </w:p>
    <w:p>
      <w:pPr>
        <w:pStyle w:val="10"/>
        <w:tabs>
          <w:tab w:val="right" w:leader="dot" w:pos="8306"/>
        </w:tabs>
        <w:ind w:left="640"/>
      </w:pPr>
      <w:r>
        <w:fldChar w:fldCharType="begin"/>
      </w:r>
      <w:r>
        <w:instrText xml:space="preserve"> HYPERLINK \l "_Toc15457" </w:instrText>
      </w:r>
      <w:r>
        <w:fldChar w:fldCharType="separate"/>
      </w:r>
      <w:r>
        <w:rPr>
          <w:rFonts w:hint="eastAsia"/>
        </w:rPr>
        <w:t>（一）绩效自评工作经验</w:t>
      </w:r>
      <w:r>
        <w:tab/>
      </w:r>
      <w:r>
        <w:fldChar w:fldCharType="begin"/>
      </w:r>
      <w:r>
        <w:instrText xml:space="preserve"> PAGEREF _Toc15457 \h </w:instrText>
      </w:r>
      <w:r>
        <w:fldChar w:fldCharType="separate"/>
      </w:r>
      <w:r>
        <w:t>14</w:t>
      </w:r>
      <w:r>
        <w:fldChar w:fldCharType="end"/>
      </w:r>
      <w:r>
        <w:fldChar w:fldCharType="end"/>
      </w:r>
    </w:p>
    <w:p>
      <w:pPr>
        <w:pStyle w:val="10"/>
        <w:tabs>
          <w:tab w:val="right" w:leader="dot" w:pos="8306"/>
        </w:tabs>
        <w:ind w:left="640"/>
      </w:pPr>
      <w:r>
        <w:fldChar w:fldCharType="begin"/>
      </w:r>
      <w:r>
        <w:instrText xml:space="preserve"> HYPERLINK \l "_Toc16742" </w:instrText>
      </w:r>
      <w:r>
        <w:fldChar w:fldCharType="separate"/>
      </w:r>
      <w:r>
        <w:rPr>
          <w:rFonts w:hint="eastAsia"/>
        </w:rPr>
        <w:t>（二）绩效自评工作发现的其他问题</w:t>
      </w:r>
      <w:r>
        <w:tab/>
      </w:r>
      <w:r>
        <w:fldChar w:fldCharType="begin"/>
      </w:r>
      <w:r>
        <w:instrText xml:space="preserve"> PAGEREF _Toc16742 \h </w:instrText>
      </w:r>
      <w:r>
        <w:fldChar w:fldCharType="separate"/>
      </w:r>
      <w:r>
        <w:t>14</w:t>
      </w:r>
      <w:r>
        <w:fldChar w:fldCharType="end"/>
      </w:r>
      <w:r>
        <w:fldChar w:fldCharType="end"/>
      </w:r>
    </w:p>
    <w:p>
      <w:pPr>
        <w:pStyle w:val="9"/>
        <w:tabs>
          <w:tab w:val="right" w:leader="dot" w:pos="8306"/>
        </w:tabs>
      </w:pPr>
      <w:r>
        <w:fldChar w:fldCharType="begin"/>
      </w:r>
      <w:r>
        <w:instrText xml:space="preserve"> HYPERLINK \l "_Toc14584" </w:instrText>
      </w:r>
      <w:r>
        <w:fldChar w:fldCharType="separate"/>
      </w:r>
      <w:r>
        <w:rPr>
          <w:rFonts w:hint="eastAsia"/>
        </w:rPr>
        <w:t>附件1：2021年度部门整体绩效自评表</w:t>
      </w:r>
      <w:r>
        <w:tab/>
      </w:r>
      <w:r>
        <w:fldChar w:fldCharType="begin"/>
      </w:r>
      <w:r>
        <w:instrText xml:space="preserve"> PAGEREF _Toc14584 \h </w:instrText>
      </w:r>
      <w:r>
        <w:fldChar w:fldCharType="separate"/>
      </w:r>
      <w:r>
        <w:t>14</w:t>
      </w:r>
      <w:r>
        <w:fldChar w:fldCharType="end"/>
      </w:r>
      <w:r>
        <w:fldChar w:fldCharType="end"/>
      </w:r>
    </w:p>
    <w:p>
      <w:pPr>
        <w:pStyle w:val="18"/>
        <w:ind w:firstLine="640"/>
        <w:rPr>
          <w:rFonts w:hint="default"/>
        </w:rPr>
      </w:pPr>
      <w:r>
        <w:fldChar w:fldCharType="end"/>
      </w:r>
    </w:p>
    <w:p>
      <w:pPr>
        <w:pStyle w:val="18"/>
        <w:ind w:firstLine="640"/>
        <w:rPr>
          <w:rFonts w:hint="default"/>
        </w:rPr>
        <w:sectPr>
          <w:footerReference r:id="rId11" w:type="default"/>
          <w:pgSz w:w="11906" w:h="16838"/>
          <w:pgMar w:top="1440" w:right="1800" w:bottom="1440" w:left="1800" w:header="851" w:footer="737" w:gutter="0"/>
          <w:pgNumType w:fmt="upperRoman" w:start="1"/>
          <w:cols w:space="0" w:num="1"/>
          <w:docGrid w:linePitch="312" w:charSpace="0"/>
        </w:sectPr>
      </w:pPr>
    </w:p>
    <w:bookmarkEnd w:id="1"/>
    <w:p>
      <w:pPr>
        <w:spacing w:line="360" w:lineRule="auto"/>
        <w:ind w:firstLine="0" w:firstLineChars="0"/>
        <w:jc w:val="center"/>
        <w:rPr>
          <w:rFonts w:ascii="黑体" w:hAnsi="黑体" w:eastAsia="黑体" w:cs="黑体"/>
          <w:b/>
          <w:bCs/>
          <w:sz w:val="44"/>
          <w:szCs w:val="36"/>
        </w:rPr>
      </w:pPr>
      <w:bookmarkStart w:id="2" w:name="_Toc28057"/>
      <w:bookmarkStart w:id="3" w:name="_Toc12961"/>
      <w:bookmarkStart w:id="4" w:name="_Toc27842"/>
      <w:bookmarkStart w:id="5" w:name="_Toc6550"/>
      <w:bookmarkStart w:id="6" w:name="_Toc23630"/>
      <w:r>
        <w:rPr>
          <w:rFonts w:hint="eastAsia" w:ascii="黑体" w:hAnsi="黑体" w:eastAsia="黑体" w:cs="黑体"/>
          <w:b/>
          <w:bCs/>
          <w:sz w:val="44"/>
          <w:szCs w:val="36"/>
        </w:rPr>
        <w:t>太康县退役军人事务局</w:t>
      </w:r>
    </w:p>
    <w:p>
      <w:pPr>
        <w:spacing w:after="156" w:afterLines="50" w:line="360" w:lineRule="auto"/>
        <w:ind w:firstLine="0" w:firstLineChars="0"/>
        <w:jc w:val="center"/>
        <w:rPr>
          <w:sz w:val="44"/>
          <w:szCs w:val="36"/>
        </w:rPr>
      </w:pPr>
      <w:r>
        <w:rPr>
          <w:rFonts w:hint="eastAsia" w:ascii="黑体" w:hAnsi="黑体" w:eastAsia="黑体" w:cs="黑体"/>
          <w:b/>
          <w:bCs/>
          <w:sz w:val="44"/>
          <w:szCs w:val="36"/>
        </w:rPr>
        <w:t>2021年度部门整体自评报告</w:t>
      </w:r>
      <w:bookmarkEnd w:id="2"/>
      <w:bookmarkEnd w:id="3"/>
      <w:bookmarkEnd w:id="4"/>
      <w:bookmarkEnd w:id="5"/>
      <w:bookmarkEnd w:id="6"/>
    </w:p>
    <w:p>
      <w:pPr>
        <w:pStyle w:val="18"/>
        <w:ind w:firstLine="640"/>
        <w:rPr>
          <w:rFonts w:hint="eastAsia" w:ascii="仿宋" w:hAnsi="仿宋" w:eastAsia="仿宋" w:cs="仿宋"/>
          <w:sz w:val="28"/>
          <w:szCs w:val="28"/>
        </w:rPr>
      </w:pPr>
      <w:r>
        <w:rPr>
          <w:rFonts w:hint="eastAsia" w:ascii="仿宋" w:hAnsi="仿宋" w:eastAsia="仿宋" w:cs="仿宋"/>
          <w:sz w:val="28"/>
          <w:szCs w:val="28"/>
        </w:rPr>
        <w:t>为深入贯彻落实《太康县</w:t>
      </w:r>
      <w:r>
        <w:rPr>
          <w:rFonts w:hint="eastAsia" w:ascii="仿宋" w:hAnsi="仿宋" w:eastAsia="仿宋" w:cs="仿宋"/>
          <w:sz w:val="28"/>
          <w:szCs w:val="28"/>
          <w:lang w:val="zh-CN"/>
        </w:rPr>
        <w:t>预算项目支出绩效评价管理办法》</w:t>
      </w:r>
      <w:r>
        <w:rPr>
          <w:rFonts w:hint="eastAsia" w:ascii="仿宋" w:hAnsi="仿宋" w:eastAsia="仿宋" w:cs="仿宋"/>
          <w:sz w:val="28"/>
          <w:szCs w:val="28"/>
        </w:rPr>
        <w:t>有关要求，健全绩效管理常态化机制，强化部门预算绩效管理主体责任，提高财政资金使用效益。按照绩效管理相关文件的相关要求，我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3"/>
        <w:rPr>
          <w:rFonts w:hint="eastAsia" w:ascii="仿宋" w:hAnsi="仿宋" w:eastAsia="仿宋" w:cs="仿宋"/>
          <w:sz w:val="28"/>
          <w:szCs w:val="28"/>
        </w:rPr>
      </w:pPr>
      <w:bookmarkStart w:id="7" w:name="_Toc3240"/>
      <w:r>
        <w:rPr>
          <w:rFonts w:hint="eastAsia" w:ascii="仿宋" w:hAnsi="仿宋" w:eastAsia="仿宋" w:cs="仿宋"/>
          <w:sz w:val="28"/>
          <w:szCs w:val="28"/>
        </w:rPr>
        <w:t>一、基本情况</w:t>
      </w:r>
      <w:bookmarkEnd w:id="7"/>
    </w:p>
    <w:p>
      <w:pPr>
        <w:pStyle w:val="4"/>
        <w:rPr>
          <w:rFonts w:hint="eastAsia" w:ascii="仿宋" w:hAnsi="仿宋" w:eastAsia="仿宋" w:cs="仿宋"/>
          <w:sz w:val="28"/>
          <w:szCs w:val="28"/>
        </w:rPr>
      </w:pPr>
      <w:bookmarkStart w:id="8" w:name="_Toc14104"/>
      <w:r>
        <w:rPr>
          <w:rFonts w:hint="eastAsia" w:ascii="仿宋" w:hAnsi="仿宋" w:eastAsia="仿宋" w:cs="仿宋"/>
          <w:sz w:val="28"/>
          <w:szCs w:val="28"/>
        </w:rPr>
        <w:t>（一）单位简介</w:t>
      </w:r>
      <w:bookmarkEnd w:id="8"/>
    </w:p>
    <w:p>
      <w:pPr>
        <w:pStyle w:val="18"/>
        <w:ind w:firstLine="640"/>
        <w:rPr>
          <w:rFonts w:hint="eastAsia" w:ascii="仿宋" w:hAnsi="仿宋" w:eastAsia="仿宋" w:cs="仿宋"/>
          <w:sz w:val="28"/>
          <w:szCs w:val="28"/>
          <w:highlight w:val="yellow"/>
        </w:rPr>
      </w:pPr>
      <w:r>
        <w:rPr>
          <w:rFonts w:hint="eastAsia" w:ascii="仿宋" w:hAnsi="仿宋" w:eastAsia="仿宋" w:cs="仿宋"/>
          <w:sz w:val="28"/>
          <w:szCs w:val="28"/>
        </w:rPr>
        <w:t>太康县退役军人事务局是县政府直属正科级单位，单位性质行政事业，经费预算性质财政预算拨款，内设办公室、思想政治和权益维护股、移交安置股、就业创业股、优抚和褒扬股，事业单位有太康县退役军人服务中心、太康县军队离休退休干部休养所，太康县烈士陵园，太康县双拥服务中心。</w:t>
      </w:r>
    </w:p>
    <w:p>
      <w:pPr>
        <w:pStyle w:val="4"/>
        <w:rPr>
          <w:rFonts w:hint="eastAsia" w:ascii="仿宋" w:hAnsi="仿宋" w:eastAsia="仿宋" w:cs="仿宋"/>
          <w:sz w:val="28"/>
          <w:szCs w:val="28"/>
        </w:rPr>
      </w:pPr>
      <w:bookmarkStart w:id="9" w:name="_Toc27471"/>
      <w:r>
        <w:rPr>
          <w:rFonts w:hint="eastAsia" w:ascii="仿宋" w:hAnsi="仿宋" w:eastAsia="仿宋" w:cs="仿宋"/>
          <w:sz w:val="28"/>
          <w:szCs w:val="28"/>
        </w:rPr>
        <w:t>（二）年度部门总目标及主要任务</w:t>
      </w:r>
      <w:bookmarkEnd w:id="9"/>
    </w:p>
    <w:p>
      <w:pPr>
        <w:pStyle w:val="18"/>
        <w:ind w:firstLine="640"/>
        <w:rPr>
          <w:rFonts w:hint="eastAsia" w:ascii="仿宋" w:hAnsi="仿宋" w:eastAsia="仿宋" w:cs="仿宋"/>
          <w:sz w:val="28"/>
          <w:szCs w:val="28"/>
        </w:rPr>
      </w:pPr>
      <w:bookmarkStart w:id="10" w:name="_Toc21119"/>
      <w:bookmarkStart w:id="11" w:name="_Toc18200"/>
      <w:bookmarkStart w:id="12" w:name="_Toc5610"/>
      <w:r>
        <w:rPr>
          <w:rFonts w:hint="eastAsia" w:ascii="仿宋" w:hAnsi="仿宋" w:eastAsia="仿宋" w:cs="仿宋"/>
          <w:sz w:val="28"/>
          <w:szCs w:val="28"/>
        </w:rPr>
        <w:t>根据工作计划并结合部门年初工作要点，我单位制定了如下年度目标及任务：</w:t>
      </w:r>
      <w:bookmarkEnd w:id="10"/>
      <w:bookmarkEnd w:id="11"/>
      <w:bookmarkEnd w:id="12"/>
    </w:p>
    <w:p>
      <w:pPr>
        <w:pStyle w:val="5"/>
        <w:ind w:firstLine="643"/>
        <w:rPr>
          <w:rFonts w:hint="eastAsia" w:ascii="仿宋" w:hAnsi="仿宋" w:eastAsia="仿宋" w:cs="仿宋"/>
          <w:sz w:val="28"/>
          <w:szCs w:val="28"/>
        </w:rPr>
      </w:pPr>
      <w:r>
        <w:rPr>
          <w:rFonts w:hint="eastAsia" w:ascii="仿宋" w:hAnsi="仿宋" w:eastAsia="仿宋" w:cs="仿宋"/>
          <w:sz w:val="28"/>
          <w:szCs w:val="28"/>
        </w:rPr>
        <w:t>1.年度总体目标</w:t>
      </w:r>
    </w:p>
    <w:p>
      <w:pPr>
        <w:pStyle w:val="18"/>
        <w:ind w:firstLine="640"/>
        <w:rPr>
          <w:rFonts w:hint="eastAsia" w:ascii="仿宋" w:hAnsi="仿宋" w:eastAsia="仿宋" w:cs="仿宋"/>
          <w:sz w:val="28"/>
          <w:szCs w:val="28"/>
        </w:rPr>
      </w:pPr>
      <w:r>
        <w:rPr>
          <w:rFonts w:hint="eastAsia" w:ascii="仿宋" w:hAnsi="仿宋" w:eastAsia="仿宋" w:cs="仿宋"/>
          <w:sz w:val="28"/>
          <w:szCs w:val="28"/>
        </w:rPr>
        <w:t>年度履职目标1：1.负责全县军队转业干部、复员干部、离退休干部、退役士兵和无军籍退休退职职工的移交安置工作，做好自主择业、自主就业退役军人服务管理工作。2.组织指导全县退役军人教育培训工作，协调扶持退役军人和随军随调家属就业创业。组织协调落实移交我县的离退休军人、符合条件的其他退役军人和无军籍退休退职职工的住房保障工作，以及退役军人医疗保障、社会保险等待遇保障工作；落实军队离退休干部（遗属）、无军籍退休退职职工相关待遇。3.组织指导全县拥军优属工作，负责现役军人、退役军人、军队文职人员和军属的优待、抚恤等工作；贯彻落实国民党抗战老兵等有关人员优待政策并组织实施。4.负责全县烈士褒扬及退役军人荣誉奖励、军人公墓管理维护、纪念活动等工作，依法承担英雄烈士保护相关工作，5.指导全县优抚医院、光荣院、烈士纪念设施等机构的服务管理工作，总结表彰和宣扬退役军人、退役军人工作单位和个人先进典型事迹。6.负责全县退役军人法律法规宣传工作，指导并监督检查关于退役军人相关法律法规和政策措施的落实；组织开展退役军人权益维护和有关人员的帮扶援助工作。7.推进退役军人服务保障体系建设，夯实退役军人服务管理保障工作基础，提升退役军人服务管理保障工作水平。8.组织指导全县伤病残退役军人服务管理和抚恤工作。拟定全县有关退役军人医疗、疗养、养老等机构的规划并组织实施；承担全县不适宜继续服役的伤病残军人相关工作。9.完成县委、县政府交办的其他任务。</w:t>
      </w:r>
    </w:p>
    <w:p>
      <w:pPr>
        <w:pStyle w:val="5"/>
        <w:ind w:firstLine="643"/>
        <w:rPr>
          <w:rFonts w:hint="eastAsia" w:ascii="仿宋" w:hAnsi="仿宋" w:eastAsia="仿宋" w:cs="仿宋"/>
          <w:sz w:val="28"/>
          <w:szCs w:val="28"/>
        </w:rPr>
      </w:pPr>
      <w:r>
        <w:rPr>
          <w:rFonts w:hint="eastAsia" w:ascii="仿宋" w:hAnsi="仿宋" w:eastAsia="仿宋" w:cs="仿宋"/>
          <w:sz w:val="28"/>
          <w:szCs w:val="28"/>
        </w:rPr>
        <w:t>2.年度主要工作内容</w:t>
      </w:r>
    </w:p>
    <w:p>
      <w:pPr>
        <w:pStyle w:val="18"/>
        <w:ind w:firstLine="640"/>
        <w:rPr>
          <w:rFonts w:hint="eastAsia" w:ascii="仿宋" w:hAnsi="仿宋" w:eastAsia="仿宋" w:cs="仿宋"/>
          <w:sz w:val="28"/>
          <w:szCs w:val="28"/>
        </w:rPr>
      </w:pPr>
      <w:r>
        <w:rPr>
          <w:rFonts w:hint="eastAsia" w:ascii="仿宋" w:hAnsi="仿宋" w:eastAsia="仿宋" w:cs="仿宋"/>
          <w:sz w:val="28"/>
          <w:szCs w:val="28"/>
        </w:rPr>
        <w:t>主要任务1：积极做好烈士纪念褒扬工作。开展“我替烈士看爹娘”志愿服务活动。以“您为国尽忠，我替您尽孝”为主题，到独塘、五里口、朱口、马厂、张集、高贤、清集等乡镇，对全县所有烈士父母进行看望，为他们送去慰问金和慰问品，并帮助其打扫房屋、清理庭院、整理衣物等，以“子女式”的倾情服务，真正让烈士家属感受到社会的关怀和温暖。</w:t>
      </w:r>
    </w:p>
    <w:p>
      <w:pPr>
        <w:pStyle w:val="18"/>
        <w:ind w:firstLine="640"/>
        <w:rPr>
          <w:rFonts w:hint="eastAsia" w:ascii="仿宋" w:hAnsi="仿宋" w:eastAsia="仿宋" w:cs="仿宋"/>
          <w:sz w:val="28"/>
          <w:szCs w:val="28"/>
        </w:rPr>
      </w:pPr>
      <w:r>
        <w:rPr>
          <w:rFonts w:hint="eastAsia" w:ascii="仿宋" w:hAnsi="仿宋" w:eastAsia="仿宋" w:cs="仿宋"/>
          <w:sz w:val="28"/>
          <w:szCs w:val="28"/>
        </w:rPr>
        <w:t>主要任务2：全力做好省级双拥模范县创建。夯实双拥宣传阵地，在交通要道和县城重点场所设置电子显示屏、永久性宣传标牌，新建县双拥文化主题公园、水东革命历史纪念馆等纪念设施。</w:t>
      </w:r>
    </w:p>
    <w:p>
      <w:pPr>
        <w:pStyle w:val="18"/>
        <w:ind w:firstLine="640"/>
        <w:rPr>
          <w:rFonts w:hint="eastAsia" w:ascii="仿宋" w:hAnsi="仿宋" w:eastAsia="仿宋" w:cs="仿宋"/>
          <w:sz w:val="28"/>
          <w:szCs w:val="28"/>
        </w:rPr>
      </w:pPr>
      <w:r>
        <w:rPr>
          <w:rFonts w:hint="eastAsia" w:ascii="仿宋" w:hAnsi="仿宋" w:eastAsia="仿宋" w:cs="仿宋"/>
          <w:sz w:val="28"/>
          <w:szCs w:val="28"/>
        </w:rPr>
        <w:t>主要任务3：做好退役军人权益维护工作。深入细致对退役军人历年积案和遗留问题进行排查，坚持政策兑现和思想化解并举，坚持以人为本，综合施策。局领导做好开门接访和带案下访，对重点人员进行常态化联系，建立包保台账，制定应急预案，重要事项成立专班，开展“大督查，大走访，大调研”专项活动，合力攻坚化解，对个别人员带着感情谈心，带着亲情感化，从思想根源上进行化解，把信访苗头解决在县内。</w:t>
      </w:r>
    </w:p>
    <w:p>
      <w:pPr>
        <w:pStyle w:val="5"/>
        <w:ind w:firstLine="643"/>
        <w:rPr>
          <w:rFonts w:hint="eastAsia" w:ascii="仿宋" w:hAnsi="仿宋" w:eastAsia="仿宋" w:cs="仿宋"/>
          <w:sz w:val="28"/>
          <w:szCs w:val="28"/>
        </w:rPr>
      </w:pPr>
      <w:r>
        <w:rPr>
          <w:rFonts w:hint="eastAsia" w:ascii="仿宋" w:hAnsi="仿宋" w:eastAsia="仿宋" w:cs="仿宋"/>
          <w:sz w:val="28"/>
          <w:szCs w:val="28"/>
        </w:rPr>
        <w:t>3.年度部门整体预算绩效目标、绩效指标设定情况</w:t>
      </w:r>
    </w:p>
    <w:p>
      <w:pPr>
        <w:pStyle w:val="18"/>
        <w:ind w:firstLine="640"/>
        <w:rPr>
          <w:rFonts w:hint="eastAsia" w:ascii="仿宋" w:hAnsi="仿宋" w:eastAsia="仿宋" w:cs="仿宋"/>
          <w:sz w:val="28"/>
          <w:szCs w:val="28"/>
        </w:rPr>
      </w:pPr>
      <w:bookmarkStart w:id="13" w:name="_Toc10759"/>
      <w:bookmarkStart w:id="14" w:name="_Toc12027"/>
      <w:bookmarkStart w:id="15" w:name="_Toc23108"/>
      <w:bookmarkStart w:id="16" w:name="_Toc25009"/>
      <w:bookmarkStart w:id="17" w:name="_Toc19880"/>
      <w:r>
        <w:rPr>
          <w:rFonts w:hint="eastAsia" w:ascii="仿宋" w:hAnsi="仿宋" w:eastAsia="仿宋" w:cs="仿宋"/>
          <w:sz w:val="28"/>
          <w:szCs w:val="28"/>
        </w:rPr>
        <w:t>我单位根据2021年度工作计划，按照绩效评价政策文件要求，制定部门年度整体预算绩效目标表，具体内容详见附件1；</w:t>
      </w:r>
      <w:bookmarkEnd w:id="13"/>
      <w:bookmarkEnd w:id="14"/>
      <w:bookmarkEnd w:id="15"/>
      <w:bookmarkEnd w:id="16"/>
      <w:bookmarkEnd w:id="17"/>
    </w:p>
    <w:p>
      <w:pPr>
        <w:pStyle w:val="18"/>
        <w:ind w:firstLine="640"/>
        <w:rPr>
          <w:rFonts w:hint="eastAsia" w:ascii="仿宋" w:hAnsi="仿宋" w:eastAsia="仿宋" w:cs="仿宋"/>
          <w:sz w:val="28"/>
          <w:szCs w:val="28"/>
        </w:rPr>
      </w:pPr>
      <w:r>
        <w:rPr>
          <w:rFonts w:hint="eastAsia" w:ascii="仿宋" w:hAnsi="仿宋" w:eastAsia="仿宋" w:cs="仿宋"/>
          <w:sz w:val="28"/>
          <w:szCs w:val="28"/>
        </w:rPr>
        <w:t>本次自评指标体系包括3个一级指标、9个二级指标、33个三级指标。其中一级指标从投入管理指标、产出指标、效益指标3个方面，对一级指标进行细化评价；二级指标从整体工作目标管理情况、预算和财务管理、绩效管理、重点工作任务完成、履职目标实现、履职社会效益、履职生态效益、可持续性发展、满意度9个方面对一级指标进行细化评价，三级指标是对二级指标的细化、量化。</w:t>
      </w:r>
    </w:p>
    <w:p>
      <w:pPr>
        <w:pStyle w:val="3"/>
        <w:rPr>
          <w:rFonts w:hint="eastAsia" w:ascii="仿宋" w:hAnsi="仿宋" w:eastAsia="仿宋" w:cs="仿宋"/>
          <w:sz w:val="28"/>
          <w:szCs w:val="28"/>
        </w:rPr>
      </w:pPr>
      <w:bookmarkStart w:id="18" w:name="_Toc31554"/>
      <w:r>
        <w:rPr>
          <w:rFonts w:hint="eastAsia" w:ascii="仿宋" w:hAnsi="仿宋" w:eastAsia="仿宋" w:cs="仿宋"/>
          <w:sz w:val="28"/>
          <w:szCs w:val="28"/>
        </w:rPr>
        <w:t>二、绩效自评工作开展情况</w:t>
      </w:r>
      <w:bookmarkEnd w:id="18"/>
    </w:p>
    <w:p>
      <w:pPr>
        <w:pStyle w:val="4"/>
        <w:rPr>
          <w:rFonts w:hint="eastAsia" w:ascii="仿宋" w:hAnsi="仿宋" w:eastAsia="仿宋" w:cs="仿宋"/>
          <w:sz w:val="28"/>
          <w:szCs w:val="28"/>
        </w:rPr>
      </w:pPr>
      <w:bookmarkStart w:id="19" w:name="_Toc12307"/>
      <w:r>
        <w:rPr>
          <w:rFonts w:hint="eastAsia" w:ascii="仿宋" w:hAnsi="仿宋" w:eastAsia="仿宋" w:cs="仿宋"/>
          <w:sz w:val="28"/>
          <w:szCs w:val="28"/>
        </w:rPr>
        <w:t>（一）评价方法</w:t>
      </w:r>
      <w:bookmarkEnd w:id="19"/>
    </w:p>
    <w:p>
      <w:pPr>
        <w:pStyle w:val="18"/>
        <w:ind w:firstLine="640"/>
        <w:rPr>
          <w:rFonts w:hint="eastAsia" w:ascii="仿宋" w:hAnsi="仿宋" w:eastAsia="仿宋" w:cs="仿宋"/>
          <w:sz w:val="28"/>
          <w:szCs w:val="28"/>
        </w:rPr>
      </w:pPr>
      <w:r>
        <w:rPr>
          <w:rFonts w:hint="eastAsia" w:ascii="仿宋" w:hAnsi="仿宋" w:eastAsia="仿宋" w:cs="仿宋"/>
          <w:sz w:val="28"/>
          <w:szCs w:val="28"/>
        </w:rPr>
        <w:t>一是对照“部门整体支出绩效评价指标体系评分表”的主要考评内容及工作完成情况，将可以公开的资料整理成佐证材料。对照当年工作计划和上级交办的各项工作内容，进行自评、复核，形成总体得分。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二是制作了网络调查问卷，指派专人管理，对评价情况进行统计、汇总和复核后，形成我单位社会满意度调查结果。</w:t>
      </w:r>
    </w:p>
    <w:p>
      <w:pPr>
        <w:pStyle w:val="18"/>
        <w:ind w:firstLine="640"/>
        <w:rPr>
          <w:rFonts w:hint="eastAsia" w:ascii="仿宋" w:hAnsi="仿宋" w:eastAsia="仿宋" w:cs="仿宋"/>
          <w:sz w:val="28"/>
          <w:szCs w:val="28"/>
        </w:rPr>
      </w:pPr>
      <w:r>
        <w:rPr>
          <w:rFonts w:hint="eastAsia" w:ascii="仿宋" w:hAnsi="仿宋" w:eastAsia="仿宋" w:cs="仿宋"/>
          <w:sz w:val="28"/>
          <w:szCs w:val="28"/>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4"/>
        <w:rPr>
          <w:rFonts w:hint="eastAsia" w:ascii="仿宋" w:hAnsi="仿宋" w:eastAsia="仿宋" w:cs="仿宋"/>
          <w:sz w:val="28"/>
          <w:szCs w:val="28"/>
        </w:rPr>
      </w:pPr>
      <w:bookmarkStart w:id="20" w:name="_Toc25686"/>
      <w:r>
        <w:rPr>
          <w:rFonts w:hint="eastAsia" w:ascii="仿宋" w:hAnsi="仿宋" w:eastAsia="仿宋" w:cs="仿宋"/>
          <w:sz w:val="28"/>
          <w:szCs w:val="28"/>
        </w:rPr>
        <w:t>（二）工作程序</w:t>
      </w:r>
      <w:bookmarkEnd w:id="20"/>
    </w:p>
    <w:p>
      <w:pPr>
        <w:pStyle w:val="18"/>
        <w:ind w:firstLine="640"/>
        <w:rPr>
          <w:rFonts w:hint="eastAsia" w:ascii="仿宋" w:hAnsi="仿宋" w:eastAsia="仿宋" w:cs="仿宋"/>
          <w:sz w:val="28"/>
          <w:szCs w:val="28"/>
        </w:rPr>
      </w:pPr>
      <w:r>
        <w:rPr>
          <w:rFonts w:hint="eastAsia" w:ascii="仿宋" w:hAnsi="仿宋" w:eastAsia="仿宋" w:cs="仿宋"/>
          <w:sz w:val="28"/>
          <w:szCs w:val="28"/>
        </w:rPr>
        <w:t>根据太康县财政局整体自评文件及要求，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2021年度部门整体履职效益进行自评打分，发现问题，并落实整改。</w:t>
      </w:r>
    </w:p>
    <w:p>
      <w:pPr>
        <w:pStyle w:val="3"/>
        <w:rPr>
          <w:rFonts w:hint="eastAsia" w:ascii="仿宋" w:hAnsi="仿宋" w:eastAsia="仿宋" w:cs="仿宋"/>
          <w:sz w:val="28"/>
          <w:szCs w:val="28"/>
        </w:rPr>
      </w:pPr>
      <w:bookmarkStart w:id="21" w:name="_Toc3418"/>
      <w:r>
        <w:rPr>
          <w:rFonts w:hint="eastAsia" w:ascii="仿宋" w:hAnsi="仿宋" w:eastAsia="仿宋" w:cs="仿宋"/>
          <w:sz w:val="28"/>
          <w:szCs w:val="28"/>
        </w:rPr>
        <w:t>三、综合评价结论</w:t>
      </w:r>
      <w:bookmarkEnd w:id="21"/>
    </w:p>
    <w:p>
      <w:pPr>
        <w:pStyle w:val="18"/>
        <w:ind w:firstLine="640"/>
        <w:rPr>
          <w:rFonts w:hint="eastAsia" w:ascii="仿宋" w:hAnsi="仿宋" w:eastAsia="仿宋" w:cs="仿宋"/>
          <w:sz w:val="28"/>
          <w:szCs w:val="28"/>
        </w:rPr>
      </w:pPr>
      <w:r>
        <w:rPr>
          <w:rFonts w:hint="eastAsia" w:ascii="仿宋" w:hAnsi="仿宋" w:eastAsia="仿宋" w:cs="仿宋"/>
          <w:sz w:val="28"/>
          <w:szCs w:val="28"/>
        </w:rPr>
        <w:t>依据自评指标体系，通过对预算执行情况、投入管理指标、产出指标、效益指标进行全面综合评价，2021年度我单位整体自评得分为99.5分，评价等级为“优”。其中，预算执行率一项得分10分，投入管理指标得分30分，产出指标得分25分，效益指标得分34.5分；总体得分情况如下表3-1。</w:t>
      </w:r>
    </w:p>
    <w:p>
      <w:pPr>
        <w:pStyle w:val="15"/>
        <w:rPr>
          <w:rFonts w:hint="eastAsia" w:ascii="仿宋" w:hAnsi="仿宋" w:eastAsia="仿宋" w:cs="仿宋"/>
          <w:sz w:val="28"/>
          <w:szCs w:val="28"/>
        </w:rPr>
      </w:pPr>
      <w:r>
        <w:rPr>
          <w:rFonts w:hint="eastAsia" w:ascii="仿宋" w:hAnsi="仿宋" w:eastAsia="仿宋" w:cs="仿宋"/>
          <w:sz w:val="28"/>
          <w:szCs w:val="28"/>
        </w:rPr>
        <w:t>表3-1 部门整体得分情况</w:t>
      </w:r>
    </w:p>
    <w:tbl>
      <w:tblPr>
        <w:tblStyle w:val="12"/>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7"/>
        <w:gridCol w:w="1686"/>
        <w:gridCol w:w="1744"/>
        <w:gridCol w:w="1203"/>
        <w:gridCol w:w="1257"/>
        <w:gridCol w:w="1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5"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一级指标</w:t>
            </w:r>
          </w:p>
        </w:tc>
        <w:tc>
          <w:tcPr>
            <w:tcW w:w="963"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预算执行情况</w:t>
            </w:r>
          </w:p>
        </w:tc>
        <w:tc>
          <w:tcPr>
            <w:tcW w:w="996"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投入管理指标</w:t>
            </w:r>
          </w:p>
        </w:tc>
        <w:tc>
          <w:tcPr>
            <w:tcW w:w="687"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产出指标</w:t>
            </w:r>
          </w:p>
        </w:tc>
        <w:tc>
          <w:tcPr>
            <w:tcW w:w="718"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效益指标</w:t>
            </w:r>
          </w:p>
        </w:tc>
        <w:tc>
          <w:tcPr>
            <w:tcW w:w="742"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5"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权重</w:t>
            </w:r>
          </w:p>
        </w:tc>
        <w:tc>
          <w:tcPr>
            <w:tcW w:w="963"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10</w:t>
            </w:r>
          </w:p>
        </w:tc>
        <w:tc>
          <w:tcPr>
            <w:tcW w:w="996"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30</w:t>
            </w:r>
          </w:p>
        </w:tc>
        <w:tc>
          <w:tcPr>
            <w:tcW w:w="687"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25</w:t>
            </w:r>
          </w:p>
        </w:tc>
        <w:tc>
          <w:tcPr>
            <w:tcW w:w="718"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35</w:t>
            </w:r>
          </w:p>
        </w:tc>
        <w:tc>
          <w:tcPr>
            <w:tcW w:w="742"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5"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得分率</w:t>
            </w:r>
          </w:p>
        </w:tc>
        <w:tc>
          <w:tcPr>
            <w:tcW w:w="963"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100%</w:t>
            </w:r>
          </w:p>
        </w:tc>
        <w:tc>
          <w:tcPr>
            <w:tcW w:w="996"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100%</w:t>
            </w:r>
          </w:p>
        </w:tc>
        <w:tc>
          <w:tcPr>
            <w:tcW w:w="687"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100%</w:t>
            </w:r>
          </w:p>
        </w:tc>
        <w:tc>
          <w:tcPr>
            <w:tcW w:w="718"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98.57%</w:t>
            </w:r>
          </w:p>
        </w:tc>
        <w:tc>
          <w:tcPr>
            <w:tcW w:w="742"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5"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得分</w:t>
            </w:r>
          </w:p>
        </w:tc>
        <w:tc>
          <w:tcPr>
            <w:tcW w:w="963"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10</w:t>
            </w:r>
          </w:p>
        </w:tc>
        <w:tc>
          <w:tcPr>
            <w:tcW w:w="996"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30</w:t>
            </w:r>
          </w:p>
        </w:tc>
        <w:tc>
          <w:tcPr>
            <w:tcW w:w="687"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25</w:t>
            </w:r>
          </w:p>
        </w:tc>
        <w:tc>
          <w:tcPr>
            <w:tcW w:w="718"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34.5</w:t>
            </w:r>
          </w:p>
        </w:tc>
        <w:tc>
          <w:tcPr>
            <w:tcW w:w="742" w:type="pct"/>
            <w:tcBorders>
              <w:top w:val="single" w:color="auto" w:sz="4" w:space="0"/>
              <w:left w:val="single" w:color="auto" w:sz="4" w:space="0"/>
              <w:bottom w:val="single" w:color="auto" w:sz="4" w:space="0"/>
              <w:right w:val="single" w:color="auto" w:sz="4" w:space="0"/>
            </w:tcBorders>
            <w:vAlign w:val="center"/>
          </w:tcPr>
          <w:p>
            <w:pPr>
              <w:pStyle w:val="14"/>
              <w:rPr>
                <w:rFonts w:hint="eastAsia" w:ascii="仿宋" w:hAnsi="仿宋" w:eastAsia="仿宋" w:cs="仿宋"/>
                <w:sz w:val="28"/>
                <w:szCs w:val="28"/>
              </w:rPr>
            </w:pPr>
            <w:r>
              <w:rPr>
                <w:rFonts w:hint="eastAsia" w:ascii="仿宋" w:hAnsi="仿宋" w:eastAsia="仿宋" w:cs="仿宋"/>
                <w:sz w:val="28"/>
                <w:szCs w:val="28"/>
              </w:rPr>
              <w:t>99.5</w:t>
            </w:r>
          </w:p>
        </w:tc>
      </w:tr>
    </w:tbl>
    <w:p>
      <w:pPr>
        <w:pStyle w:val="15"/>
        <w:rPr>
          <w:rFonts w:hint="eastAsia" w:ascii="仿宋" w:hAnsi="仿宋" w:eastAsia="仿宋" w:cs="仿宋"/>
          <w:sz w:val="28"/>
          <w:szCs w:val="28"/>
        </w:rPr>
      </w:pPr>
      <w:r>
        <w:rPr>
          <w:rFonts w:hint="eastAsia" w:ascii="仿宋" w:hAnsi="仿宋" w:eastAsia="仿宋" w:cs="仿宋"/>
          <w:sz w:val="28"/>
          <w:szCs w:val="28"/>
        </w:rPr>
        <w:t>表3-2 各项指标得分情况表</w:t>
      </w:r>
    </w:p>
    <w:tbl>
      <w:tblPr>
        <w:tblStyle w:val="11"/>
        <w:tblW w:w="4998" w:type="pct"/>
        <w:jc w:val="center"/>
        <w:tblLayout w:type="autofit"/>
        <w:tblCellMar>
          <w:top w:w="0" w:type="dxa"/>
          <w:left w:w="108" w:type="dxa"/>
          <w:bottom w:w="0" w:type="dxa"/>
          <w:right w:w="108" w:type="dxa"/>
        </w:tblCellMar>
      </w:tblPr>
      <w:tblGrid>
        <w:gridCol w:w="986"/>
        <w:gridCol w:w="1425"/>
        <w:gridCol w:w="2405"/>
        <w:gridCol w:w="1113"/>
        <w:gridCol w:w="1234"/>
        <w:gridCol w:w="650"/>
        <w:gridCol w:w="706"/>
      </w:tblGrid>
      <w:tr>
        <w:tblPrEx>
          <w:tblCellMar>
            <w:top w:w="0" w:type="dxa"/>
            <w:left w:w="108" w:type="dxa"/>
            <w:bottom w:w="0" w:type="dxa"/>
            <w:right w:w="108" w:type="dxa"/>
          </w:tblCellMar>
        </w:tblPrEx>
        <w:trPr>
          <w:trHeight w:val="567" w:hRule="atLeast"/>
          <w:tblHeader/>
          <w:jc w:val="center"/>
        </w:trPr>
        <w:tc>
          <w:tcPr>
            <w:tcW w:w="583"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一级指标</w:t>
            </w:r>
          </w:p>
        </w:tc>
        <w:tc>
          <w:tcPr>
            <w:tcW w:w="840"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二级指标</w:t>
            </w:r>
          </w:p>
        </w:tc>
        <w:tc>
          <w:tcPr>
            <w:tcW w:w="141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三级指标</w:t>
            </w:r>
          </w:p>
        </w:tc>
        <w:tc>
          <w:tcPr>
            <w:tcW w:w="657"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指标值</w:t>
            </w:r>
          </w:p>
        </w:tc>
        <w:tc>
          <w:tcPr>
            <w:tcW w:w="72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实际完成值</w:t>
            </w:r>
          </w:p>
        </w:tc>
        <w:tc>
          <w:tcPr>
            <w:tcW w:w="38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分值</w:t>
            </w:r>
          </w:p>
        </w:tc>
        <w:tc>
          <w:tcPr>
            <w:tcW w:w="39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rPr>
                <w:rFonts w:hint="eastAsia" w:ascii="仿宋" w:hAnsi="仿宋" w:eastAsia="仿宋" w:cs="仿宋"/>
                <w:sz w:val="28"/>
                <w:szCs w:val="28"/>
              </w:rPr>
            </w:pPr>
            <w:r>
              <w:rPr>
                <w:rFonts w:hint="eastAsia" w:ascii="仿宋" w:hAnsi="仿宋" w:eastAsia="仿宋" w:cs="仿宋"/>
                <w:sz w:val="28"/>
                <w:szCs w:val="28"/>
              </w:rPr>
              <w:t>得分</w:t>
            </w:r>
          </w:p>
        </w:tc>
      </w:tr>
      <w:tr>
        <w:tblPrEx>
          <w:tblCellMar>
            <w:top w:w="0" w:type="dxa"/>
            <w:left w:w="108" w:type="dxa"/>
            <w:bottom w:w="0" w:type="dxa"/>
            <w:right w:w="108" w:type="dxa"/>
          </w:tblCellMar>
        </w:tblPrEx>
        <w:trPr>
          <w:trHeight w:val="567" w:hRule="atLeast"/>
          <w:jc w:val="center"/>
        </w:trPr>
        <w:tc>
          <w:tcPr>
            <w:tcW w:w="58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预算执行率</w:t>
            </w:r>
          </w:p>
        </w:tc>
        <w:tc>
          <w:tcPr>
            <w:tcW w:w="8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预算执行率</w:t>
            </w: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预算执行率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10</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10</w:t>
            </w:r>
          </w:p>
        </w:tc>
      </w:tr>
      <w:tr>
        <w:tblPrEx>
          <w:tblCellMar>
            <w:top w:w="0" w:type="dxa"/>
            <w:left w:w="108" w:type="dxa"/>
            <w:bottom w:w="0" w:type="dxa"/>
            <w:right w:w="108" w:type="dxa"/>
          </w:tblCellMar>
        </w:tblPrEx>
        <w:trPr>
          <w:trHeight w:val="567" w:hRule="atLeast"/>
          <w:jc w:val="center"/>
        </w:trPr>
        <w:tc>
          <w:tcPr>
            <w:tcW w:w="58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投入管理指标</w:t>
            </w:r>
          </w:p>
        </w:tc>
        <w:tc>
          <w:tcPr>
            <w:tcW w:w="8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工作目标管理</w:t>
            </w: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年度履职目标相关性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color w:val="000000"/>
                <w:sz w:val="28"/>
                <w:szCs w:val="28"/>
              </w:rPr>
              <w:t>相关</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color w:val="000000"/>
                <w:sz w:val="28"/>
                <w:szCs w:val="28"/>
              </w:rPr>
              <w:t>相关</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2</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工作任务科学性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color w:val="000000"/>
                <w:sz w:val="28"/>
                <w:szCs w:val="28"/>
              </w:rPr>
              <w:t>科学</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color w:val="000000"/>
                <w:sz w:val="28"/>
                <w:szCs w:val="28"/>
              </w:rPr>
              <w:t>科学</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2</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绩效指标合理性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color w:val="000000"/>
                <w:sz w:val="28"/>
                <w:szCs w:val="28"/>
              </w:rPr>
              <w:t>合理</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color w:val="000000"/>
                <w:sz w:val="28"/>
                <w:szCs w:val="28"/>
              </w:rPr>
              <w:t>合理</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hint="eastAsia" w:ascii="仿宋" w:hAnsi="仿宋" w:eastAsia="仿宋" w:cs="仿宋"/>
                <w:sz w:val="28"/>
                <w:szCs w:val="28"/>
              </w:rPr>
            </w:pPr>
            <w:r>
              <w:rPr>
                <w:rFonts w:hint="eastAsia" w:ascii="仿宋" w:hAnsi="仿宋" w:eastAsia="仿宋" w:cs="仿宋"/>
                <w:sz w:val="28"/>
                <w:szCs w:val="28"/>
              </w:rPr>
              <w:t>2</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预算和财务管</w:t>
            </w:r>
            <w:bookmarkStart w:id="43" w:name="_GoBack"/>
            <w:bookmarkEnd w:id="43"/>
            <w:r>
              <w:rPr>
                <w:rFonts w:hint="eastAsia"/>
              </w:rPr>
              <w:t>理</w:t>
            </w: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预算编制完整性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hint="eastAsia" w:ascii="仿宋" w:hAnsi="仿宋"/>
                <w:color w:val="000000"/>
                <w:sz w:val="28"/>
                <w:szCs w:val="28"/>
              </w:rPr>
              <w:t>完整</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完整</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专项资金细化率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ascii="仿宋" w:hAnsi="仿宋"/>
                <w:color w:val="000000"/>
                <w:sz w:val="28"/>
                <w:szCs w:val="28"/>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预算调整率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hint="eastAsia" w:ascii="仿宋" w:hAnsi="仿宋"/>
                <w:color w:val="000000"/>
                <w:sz w:val="28"/>
                <w:szCs w:val="28"/>
              </w:rPr>
              <w:t>≤5%</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结转结余率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hint="eastAsia" w:ascii="仿宋" w:hAnsi="仿宋"/>
                <w:color w:val="000000"/>
                <w:sz w:val="28"/>
                <w:szCs w:val="28"/>
              </w:rPr>
              <w:t>≤5%</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“三公经”控制率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hint="eastAsia" w:ascii="仿宋" w:hAnsi="仿宋"/>
                <w:color w:val="000000"/>
                <w:sz w:val="28"/>
                <w:szCs w:val="28"/>
              </w:rPr>
              <w:t>≤80%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政府采购执行率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hint="eastAsia" w:ascii="仿宋" w:hAnsi="仿宋"/>
                <w:color w:val="000000"/>
                <w:sz w:val="28"/>
                <w:szCs w:val="28"/>
              </w:rPr>
              <w:t>≥80%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决算真实性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hint="eastAsia" w:ascii="仿宋" w:hAnsi="仿宋"/>
                <w:color w:val="000000"/>
                <w:sz w:val="28"/>
                <w:szCs w:val="28"/>
              </w:rPr>
              <w:t>真实</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真实</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资金使用合规性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hint="eastAsia" w:ascii="仿宋" w:hAnsi="仿宋"/>
                <w:color w:val="000000"/>
                <w:sz w:val="28"/>
                <w:szCs w:val="28"/>
              </w:rPr>
              <w:t>合规</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合规</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管理制度健全性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hint="eastAsia" w:ascii="仿宋" w:hAnsi="仿宋"/>
                <w:color w:val="000000"/>
                <w:sz w:val="28"/>
                <w:szCs w:val="28"/>
              </w:rPr>
              <w:t>健全</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健全</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预决算信息公幵性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hint="eastAsia" w:ascii="仿宋" w:hAnsi="仿宋"/>
                <w:color w:val="000000"/>
                <w:sz w:val="28"/>
                <w:szCs w:val="28"/>
              </w:rPr>
              <w:t>公开</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公开</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资产管理规范性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hint="eastAsia" w:ascii="仿宋" w:hAnsi="仿宋"/>
                <w:color w:val="000000"/>
                <w:sz w:val="28"/>
                <w:szCs w:val="28"/>
              </w:rPr>
              <w:t>规范</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规范</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1</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绩效管理</w:t>
            </w: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绩效监控完成率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ascii="仿宋" w:hAnsi="仿宋"/>
                <w:color w:val="000000"/>
                <w:sz w:val="28"/>
                <w:szCs w:val="28"/>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绩效自评完成率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ascii="仿宋" w:hAnsi="仿宋"/>
                <w:color w:val="000000"/>
                <w:sz w:val="28"/>
                <w:szCs w:val="28"/>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部门绩效评价完成率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ascii="仿宋" w:hAnsi="仿宋"/>
                <w:color w:val="000000"/>
                <w:sz w:val="28"/>
                <w:szCs w:val="28"/>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评价结果应用率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rPr>
                <w:rFonts w:ascii="仿宋" w:hAnsi="仿宋"/>
                <w:color w:val="000000"/>
                <w:sz w:val="28"/>
                <w:szCs w:val="28"/>
              </w:rPr>
            </w:pPr>
            <w:r>
              <w:rPr>
                <w:rFonts w:ascii="仿宋" w:hAnsi="仿宋"/>
                <w:color w:val="000000"/>
                <w:sz w:val="28"/>
                <w:szCs w:val="28"/>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2</w:t>
            </w:r>
          </w:p>
        </w:tc>
      </w:tr>
      <w:tr>
        <w:tblPrEx>
          <w:tblCellMar>
            <w:top w:w="0" w:type="dxa"/>
            <w:left w:w="108" w:type="dxa"/>
            <w:bottom w:w="0" w:type="dxa"/>
            <w:right w:w="108" w:type="dxa"/>
          </w:tblCellMar>
        </w:tblPrEx>
        <w:trPr>
          <w:trHeight w:val="567" w:hRule="atLeast"/>
          <w:jc w:val="center"/>
        </w:trPr>
        <w:tc>
          <w:tcPr>
            <w:tcW w:w="583" w:type="pct"/>
            <w:vMerge w:val="restart"/>
            <w:tcBorders>
              <w:top w:val="single" w:color="000000" w:sz="4" w:space="0"/>
              <w:left w:val="single" w:color="000000" w:sz="4" w:space="0"/>
              <w:right w:val="single" w:color="000000" w:sz="4" w:space="0"/>
            </w:tcBorders>
            <w:shd w:val="clear" w:color="auto" w:fill="FFFFFF"/>
            <w:vAlign w:val="center"/>
          </w:tcPr>
          <w:p>
            <w:pPr>
              <w:pStyle w:val="14"/>
            </w:pPr>
            <w:r>
              <w:rPr>
                <w:rFonts w:hint="eastAsia"/>
              </w:rPr>
              <w:t>产出指标</w:t>
            </w:r>
          </w:p>
        </w:tc>
        <w:tc>
          <w:tcPr>
            <w:tcW w:w="840" w:type="pct"/>
            <w:vMerge w:val="restart"/>
            <w:tcBorders>
              <w:top w:val="single" w:color="000000" w:sz="4" w:space="0"/>
              <w:left w:val="single" w:color="000000" w:sz="4" w:space="0"/>
              <w:right w:val="single" w:color="000000" w:sz="4" w:space="0"/>
            </w:tcBorders>
            <w:shd w:val="clear" w:color="auto" w:fill="FFFFFF"/>
            <w:vAlign w:val="center"/>
          </w:tcPr>
          <w:p>
            <w:pPr>
              <w:pStyle w:val="14"/>
            </w:pPr>
            <w:r>
              <w:rPr>
                <w:rFonts w:hint="eastAsia"/>
              </w:rPr>
              <w:t>重点工作任务完成</w:t>
            </w: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重点工作1计划完成率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ascii="仿宋" w:hAnsi="仿宋"/>
                <w:color w:val="000000"/>
                <w:sz w:val="28"/>
                <w:szCs w:val="28"/>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8</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8</w:t>
            </w: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right w:val="single" w:color="000000" w:sz="4" w:space="0"/>
            </w:tcBorders>
            <w:shd w:val="clear" w:color="auto" w:fill="FFFFFF"/>
            <w:vAlign w:val="center"/>
          </w:tcPr>
          <w:p>
            <w:pPr>
              <w:pStyle w:val="14"/>
            </w:pPr>
          </w:p>
        </w:tc>
        <w:tc>
          <w:tcPr>
            <w:tcW w:w="840" w:type="pct"/>
            <w:vMerge w:val="continue"/>
            <w:tcBorders>
              <w:left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重点工作2计划完成率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ascii="仿宋" w:hAnsi="仿宋"/>
                <w:color w:val="000000"/>
                <w:sz w:val="28"/>
                <w:szCs w:val="28"/>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8</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8</w:t>
            </w: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right w:val="single" w:color="000000" w:sz="4" w:space="0"/>
            </w:tcBorders>
            <w:shd w:val="clear" w:color="auto" w:fill="FFFFFF"/>
            <w:vAlign w:val="center"/>
          </w:tcPr>
          <w:p>
            <w:pPr>
              <w:pStyle w:val="14"/>
            </w:pPr>
          </w:p>
        </w:tc>
        <w:tc>
          <w:tcPr>
            <w:tcW w:w="840" w:type="pct"/>
            <w:vMerge w:val="continue"/>
            <w:tcBorders>
              <w:left w:val="single" w:color="000000" w:sz="4" w:space="0"/>
              <w:right w:val="single" w:color="000000" w:sz="4" w:space="0"/>
            </w:tcBorders>
            <w:shd w:val="clear" w:color="auto" w:fill="FFFFFF"/>
            <w:vAlign w:val="center"/>
          </w:tcPr>
          <w:p>
            <w:pPr>
              <w:pStyle w:val="14"/>
            </w:pP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重点工作3计划完成率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ascii="仿宋" w:hAnsi="仿宋"/>
                <w:color w:val="000000"/>
                <w:sz w:val="28"/>
                <w:szCs w:val="28"/>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4</w:t>
            </w: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right w:val="single" w:color="000000" w:sz="4" w:space="0"/>
            </w:tcBorders>
            <w:shd w:val="clear" w:color="auto" w:fill="FFFFFF"/>
            <w:vAlign w:val="center"/>
          </w:tcPr>
          <w:p>
            <w:pPr>
              <w:pStyle w:val="14"/>
            </w:pPr>
          </w:p>
        </w:tc>
        <w:tc>
          <w:tcPr>
            <w:tcW w:w="840" w:type="pct"/>
            <w:tcBorders>
              <w:top w:val="single" w:color="000000" w:sz="4" w:space="0"/>
              <w:left w:val="single" w:color="000000" w:sz="4" w:space="0"/>
              <w:right w:val="single" w:color="000000" w:sz="4" w:space="0"/>
            </w:tcBorders>
            <w:shd w:val="clear" w:color="auto" w:fill="FFFFFF"/>
            <w:vAlign w:val="center"/>
          </w:tcPr>
          <w:p>
            <w:pPr>
              <w:pStyle w:val="14"/>
            </w:pPr>
            <w:r>
              <w:rPr>
                <w:rFonts w:hint="eastAsia"/>
              </w:rPr>
              <w:t>履职目标实现</w:t>
            </w:r>
          </w:p>
        </w:tc>
        <w:tc>
          <w:tcPr>
            <w:tcW w:w="1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年度工作目标1实现率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ascii="仿宋" w:hAnsi="仿宋"/>
                <w:color w:val="000000"/>
                <w:sz w:val="28"/>
                <w:szCs w:val="28"/>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ascii="仿宋" w:hAnsi="仿宋"/>
                <w:color w:val="000000"/>
                <w:sz w:val="28"/>
                <w:szCs w:val="28"/>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5</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eastAsia="等线" w:cs="Times New Roman"/>
                <w:color w:val="000000"/>
                <w:sz w:val="28"/>
                <w:szCs w:val="28"/>
              </w:rPr>
              <w:t>5</w:t>
            </w:r>
          </w:p>
        </w:tc>
      </w:tr>
      <w:tr>
        <w:tblPrEx>
          <w:tblCellMar>
            <w:top w:w="0" w:type="dxa"/>
            <w:left w:w="108" w:type="dxa"/>
            <w:bottom w:w="0" w:type="dxa"/>
            <w:right w:w="108" w:type="dxa"/>
          </w:tblCellMar>
        </w:tblPrEx>
        <w:trPr>
          <w:trHeight w:val="567" w:hRule="atLeast"/>
          <w:jc w:val="center"/>
        </w:trPr>
        <w:tc>
          <w:tcPr>
            <w:tcW w:w="583"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效益指标</w:t>
            </w:r>
          </w:p>
        </w:tc>
        <w:tc>
          <w:tcPr>
            <w:tcW w:w="840" w:type="pct"/>
            <w:tcBorders>
              <w:top w:val="single" w:color="auto" w:sz="4" w:space="0"/>
              <w:left w:val="single" w:color="auto" w:sz="4" w:space="0"/>
              <w:right w:val="single" w:color="auto" w:sz="4" w:space="0"/>
            </w:tcBorders>
            <w:shd w:val="clear" w:color="auto" w:fill="FFFFFF"/>
            <w:vAlign w:val="center"/>
          </w:tcPr>
          <w:p>
            <w:pPr>
              <w:pStyle w:val="14"/>
            </w:pPr>
            <w:r>
              <w:rPr>
                <w:rFonts w:hint="eastAsia"/>
              </w:rPr>
              <w:t>履职效益</w:t>
            </w:r>
          </w:p>
        </w:tc>
        <w:tc>
          <w:tcPr>
            <w:tcW w:w="141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推进全县退役军人事业稳步发展</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推进</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推进</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eastAsia="等线" w:cs="Times New Roman"/>
                <w:color w:val="000000"/>
                <w:sz w:val="28"/>
                <w:szCs w:val="28"/>
              </w:rPr>
              <w:t>17</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eastAsia="等线" w:cs="Times New Roman"/>
                <w:color w:val="000000"/>
                <w:sz w:val="28"/>
                <w:szCs w:val="28"/>
              </w:rPr>
              <w:t>16.5</w:t>
            </w: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p>
        </w:tc>
        <w:tc>
          <w:tcPr>
            <w:tcW w:w="84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满意度</w:t>
            </w:r>
          </w:p>
        </w:tc>
        <w:tc>
          <w:tcPr>
            <w:tcW w:w="141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社会公众满意度</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w:t>
            </w:r>
            <w:r>
              <w:t>90</w:t>
            </w:r>
            <w:r>
              <w:rPr>
                <w:rFonts w:hint="eastAsia"/>
              </w:rPr>
              <w:t>%</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t>90</w:t>
            </w:r>
            <w:r>
              <w:rPr>
                <w:rFonts w:hint="eastAsia"/>
              </w:rPr>
              <w:t>%</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1</w:t>
            </w:r>
            <w:r>
              <w:t>8</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1</w:t>
            </w:r>
            <w:r>
              <w:t>8</w:t>
            </w:r>
          </w:p>
        </w:tc>
      </w:tr>
      <w:tr>
        <w:tblPrEx>
          <w:tblCellMar>
            <w:top w:w="0" w:type="dxa"/>
            <w:left w:w="108" w:type="dxa"/>
            <w:bottom w:w="0" w:type="dxa"/>
            <w:right w:w="108" w:type="dxa"/>
          </w:tblCellMar>
        </w:tblPrEx>
        <w:trPr>
          <w:trHeight w:val="567" w:hRule="atLeast"/>
          <w:jc w:val="center"/>
        </w:trPr>
        <w:tc>
          <w:tcPr>
            <w:tcW w:w="2838"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合计</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1</w:t>
            </w:r>
            <w:r>
              <w:t>00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9</w:t>
            </w:r>
            <w:r>
              <w:t>9.5</w:t>
            </w:r>
          </w:p>
        </w:tc>
      </w:tr>
    </w:tbl>
    <w:p>
      <w:pPr>
        <w:pStyle w:val="3"/>
      </w:pPr>
      <w:r>
        <w:rPr>
          <w:rFonts w:hint="eastAsia"/>
        </w:rPr>
        <w:br w:type="page"/>
      </w:r>
      <w:bookmarkStart w:id="22" w:name="_Toc18202"/>
      <w:r>
        <w:rPr>
          <w:rFonts w:hint="eastAsia"/>
        </w:rPr>
        <w:t>四、</w:t>
      </w:r>
      <w:r>
        <w:t>绩效目标实现情况分析</w:t>
      </w:r>
      <w:bookmarkEnd w:id="22"/>
    </w:p>
    <w:p>
      <w:pPr>
        <w:pStyle w:val="4"/>
      </w:pPr>
      <w:bookmarkStart w:id="23" w:name="_Toc10468"/>
      <w:r>
        <w:rPr>
          <w:rFonts w:hint="eastAsia"/>
        </w:rPr>
        <w:t>（</w:t>
      </w:r>
      <w:r>
        <w:t>一</w:t>
      </w:r>
      <w:r>
        <w:rPr>
          <w:rFonts w:hint="eastAsia"/>
        </w:rPr>
        <w:t>）</w:t>
      </w:r>
      <w:r>
        <w:t>部门资金情况分析</w:t>
      </w:r>
      <w:bookmarkEnd w:id="23"/>
    </w:p>
    <w:p>
      <w:pPr>
        <w:pStyle w:val="5"/>
        <w:ind w:firstLine="643"/>
      </w:pPr>
      <w:r>
        <w:rPr>
          <w:rFonts w:hint="eastAsia"/>
        </w:rPr>
        <w:t>1.资金到位情况与资金执行情况</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我单位2021年年初预算资金12397.87万元；全年预算资金总额12397.87万元。全年实际执行数为12397.87万元，预算执行率为100%。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2.资金管理情况</w:t>
      </w:r>
    </w:p>
    <w:p>
      <w:pPr>
        <w:pStyle w:val="18"/>
        <w:ind w:firstLine="640"/>
        <w:rPr>
          <w:rFonts w:hint="default"/>
        </w:rPr>
      </w:pPr>
      <w:r>
        <w:rPr>
          <w:rFonts w:hint="eastAsia" w:ascii="仿宋" w:hAnsi="仿宋" w:eastAsia="仿宋" w:cs="仿宋"/>
          <w:sz w:val="28"/>
          <w:szCs w:val="28"/>
        </w:rPr>
        <w:t>我单位参照相关国家法律法规，在《内部控制基本制度》中制定了财务管理、资产管理等关管理办法，且针对专项资金制定了《专项资金管理办法》，该制度符合国家财经法规和财务管理制度规定以及有关专项资金管理办法的规定。针对主要经费的管理，明确了相应原则和要求、开支范围、程序、办法及标准、审批权限等，上述制度规定基本得到执行。</w:t>
      </w:r>
    </w:p>
    <w:p>
      <w:pPr>
        <w:pStyle w:val="4"/>
      </w:pPr>
      <w:bookmarkStart w:id="24" w:name="_Toc3607"/>
      <w:r>
        <w:rPr>
          <w:rFonts w:hint="eastAsia"/>
        </w:rPr>
        <w:t>（</w:t>
      </w:r>
      <w:r>
        <w:t>二</w:t>
      </w:r>
      <w:r>
        <w:rPr>
          <w:rFonts w:hint="eastAsia"/>
        </w:rPr>
        <w:t>）</w:t>
      </w:r>
      <w:r>
        <w:t>项目绩效指标完成情况分析</w:t>
      </w:r>
      <w:bookmarkEnd w:id="24"/>
    </w:p>
    <w:p>
      <w:pPr>
        <w:pStyle w:val="5"/>
        <w:ind w:firstLine="643"/>
      </w:pPr>
      <w:r>
        <w:t>1.</w:t>
      </w:r>
      <w:r>
        <w:rPr>
          <w:rFonts w:hint="eastAsia"/>
        </w:rPr>
        <w:t>投</w:t>
      </w:r>
      <w:r>
        <w:t>入管理指标完成情况分析</w:t>
      </w:r>
    </w:p>
    <w:p>
      <w:pPr>
        <w:pStyle w:val="18"/>
        <w:ind w:firstLine="640"/>
        <w:rPr>
          <w:rFonts w:hint="eastAsia" w:ascii="仿宋" w:hAnsi="仿宋" w:eastAsia="仿宋" w:cs="仿宋"/>
          <w:sz w:val="28"/>
          <w:szCs w:val="28"/>
        </w:rPr>
      </w:pPr>
      <w:r>
        <w:rPr>
          <w:rFonts w:hint="eastAsia" w:ascii="仿宋" w:hAnsi="仿宋" w:eastAsia="仿宋" w:cs="仿宋"/>
          <w:sz w:val="28"/>
          <w:szCs w:val="28"/>
        </w:rPr>
        <w:t>（1）工作目标管理</w:t>
      </w:r>
    </w:p>
    <w:p>
      <w:pPr>
        <w:pStyle w:val="18"/>
        <w:ind w:firstLine="640"/>
        <w:rPr>
          <w:rFonts w:hint="eastAsia" w:ascii="仿宋" w:hAnsi="仿宋" w:eastAsia="仿宋" w:cs="仿宋"/>
          <w:sz w:val="28"/>
          <w:szCs w:val="28"/>
        </w:rPr>
      </w:pPr>
      <w:r>
        <w:rPr>
          <w:rFonts w:hint="eastAsia" w:ascii="仿宋" w:hAnsi="仿宋" w:eastAsia="仿宋" w:cs="仿宋"/>
          <w:sz w:val="28"/>
          <w:szCs w:val="28"/>
        </w:rPr>
        <w:t>①年度履职目标相关性，指标2分，得2分。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根据相关文件结合部门年初工作要点，制定了年度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18"/>
        <w:ind w:firstLine="640"/>
        <w:rPr>
          <w:rFonts w:hint="eastAsia" w:ascii="仿宋" w:hAnsi="仿宋" w:eastAsia="仿宋" w:cs="仿宋"/>
          <w:sz w:val="28"/>
          <w:szCs w:val="28"/>
        </w:rPr>
      </w:pPr>
      <w:r>
        <w:rPr>
          <w:rFonts w:hint="eastAsia" w:ascii="仿宋" w:hAnsi="仿宋" w:eastAsia="仿宋" w:cs="仿宋"/>
          <w:sz w:val="28"/>
          <w:szCs w:val="28"/>
        </w:rPr>
        <w:t>②工作任务科学性，指标2分，得2分。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我单位根据文件要求，制定了1项主要工作任务，有明确的绩效目标，工作任务对应的预算项目有明确的绩效目标，绩效目标与部门职责目标、工作任务目标一致，能体现预算项目的产出和效果。</w:t>
      </w:r>
    </w:p>
    <w:p>
      <w:pPr>
        <w:pStyle w:val="18"/>
        <w:ind w:firstLine="640"/>
        <w:rPr>
          <w:rFonts w:hint="eastAsia" w:ascii="仿宋" w:hAnsi="仿宋" w:eastAsia="仿宋" w:cs="仿宋"/>
          <w:sz w:val="28"/>
          <w:szCs w:val="28"/>
        </w:rPr>
      </w:pPr>
      <w:r>
        <w:rPr>
          <w:rFonts w:hint="eastAsia" w:ascii="仿宋" w:hAnsi="仿宋" w:eastAsia="仿宋" w:cs="仿宋"/>
          <w:sz w:val="28"/>
          <w:szCs w:val="28"/>
        </w:rPr>
        <w:t>③绩效指标合理性，指标2分，得2分。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我单位根据相关文件要求，制定的绩效指标明确合理，并细化、量化，绩效指标与部门职责目标、工作任务目标一</w:t>
      </w:r>
    </w:p>
    <w:p>
      <w:pPr>
        <w:pStyle w:val="18"/>
        <w:ind w:firstLine="640"/>
        <w:rPr>
          <w:rFonts w:hint="eastAsia" w:ascii="仿宋" w:hAnsi="仿宋" w:eastAsia="仿宋" w:cs="仿宋"/>
          <w:sz w:val="28"/>
          <w:szCs w:val="28"/>
        </w:rPr>
      </w:pPr>
      <w:r>
        <w:rPr>
          <w:rFonts w:hint="eastAsia" w:ascii="仿宋" w:hAnsi="仿宋" w:eastAsia="仿宋" w:cs="仿宋"/>
          <w:sz w:val="28"/>
          <w:szCs w:val="28"/>
        </w:rPr>
        <w:t>致，能体现预算项目的产出和效果。</w:t>
      </w:r>
    </w:p>
    <w:p>
      <w:pPr>
        <w:pStyle w:val="18"/>
        <w:ind w:firstLine="640"/>
        <w:rPr>
          <w:rFonts w:hint="eastAsia" w:ascii="仿宋" w:hAnsi="仿宋" w:eastAsia="仿宋" w:cs="仿宋"/>
          <w:sz w:val="28"/>
          <w:szCs w:val="28"/>
        </w:rPr>
      </w:pPr>
      <w:r>
        <w:rPr>
          <w:rFonts w:hint="eastAsia" w:ascii="仿宋" w:hAnsi="仿宋" w:eastAsia="仿宋" w:cs="仿宋"/>
          <w:sz w:val="28"/>
          <w:szCs w:val="28"/>
        </w:rPr>
        <w:t>（2）预算和财务管理</w:t>
      </w:r>
    </w:p>
    <w:p>
      <w:pPr>
        <w:pStyle w:val="18"/>
        <w:ind w:firstLine="640"/>
        <w:rPr>
          <w:rFonts w:hint="eastAsia" w:ascii="仿宋" w:hAnsi="仿宋" w:eastAsia="仿宋" w:cs="仿宋"/>
          <w:sz w:val="28"/>
          <w:szCs w:val="28"/>
        </w:rPr>
      </w:pPr>
      <w:r>
        <w:rPr>
          <w:rFonts w:hint="eastAsia" w:ascii="仿宋" w:hAnsi="仿宋" w:eastAsia="仿宋" w:cs="仿宋"/>
          <w:sz w:val="28"/>
          <w:szCs w:val="28"/>
        </w:rPr>
        <w:t>①预算编制完整性，指标2分，得2分。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我单位2021年预算编制按照历史金额作为编制依据，部门所有收入全部纳入部门预算，部门支出预算是统筹各类资金来源，全部纳入部门预算管理，预算编制明细到各类项，预算编制完整。</w:t>
      </w:r>
    </w:p>
    <w:p>
      <w:pPr>
        <w:pStyle w:val="18"/>
        <w:ind w:firstLine="640"/>
        <w:rPr>
          <w:rFonts w:hint="eastAsia" w:ascii="仿宋" w:hAnsi="仿宋" w:eastAsia="仿宋" w:cs="仿宋"/>
          <w:sz w:val="28"/>
          <w:szCs w:val="28"/>
        </w:rPr>
      </w:pPr>
      <w:r>
        <w:rPr>
          <w:rFonts w:hint="eastAsia" w:ascii="仿宋" w:hAnsi="仿宋" w:eastAsia="仿宋" w:cs="仿宋"/>
          <w:sz w:val="28"/>
          <w:szCs w:val="28"/>
        </w:rPr>
        <w:t>②专项资金细化率，指标2分，得2分。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我单位2021年的专项资金均已细化至各三级项目，专项资金细化率为100%。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③预算执行率，指标2分，得2分。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2021年我单位年初预算12,397.87万元，年中追加预算0万元，全年总预算12,397.87万元，全年实际执行数12,397.87万元，预算执行率100%。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④预算调整率，指标2分，得2分。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2021年我单位年初预算12,397.87万元，全年总预算12,397.87万元，增加金额0万元。预算调整率0%。</w:t>
      </w:r>
    </w:p>
    <w:p>
      <w:pPr>
        <w:pStyle w:val="18"/>
        <w:ind w:firstLine="640"/>
        <w:rPr>
          <w:rFonts w:hint="eastAsia" w:ascii="仿宋" w:hAnsi="仿宋" w:eastAsia="仿宋" w:cs="仿宋"/>
          <w:sz w:val="28"/>
          <w:szCs w:val="28"/>
        </w:rPr>
      </w:pPr>
      <w:r>
        <w:rPr>
          <w:rFonts w:hint="eastAsia" w:ascii="仿宋" w:hAnsi="仿宋" w:eastAsia="仿宋" w:cs="仿宋"/>
          <w:sz w:val="28"/>
          <w:szCs w:val="28"/>
        </w:rPr>
        <w:t>⑤结转结余率，指标1分，得1分。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2021年我单位全年总预算12,397.87万元，年底结余0万元，结转结余率0%。</w:t>
      </w:r>
    </w:p>
    <w:p>
      <w:pPr>
        <w:pStyle w:val="18"/>
        <w:ind w:firstLine="640"/>
        <w:rPr>
          <w:rFonts w:hint="eastAsia" w:ascii="仿宋" w:hAnsi="仿宋" w:eastAsia="仿宋" w:cs="仿宋"/>
          <w:sz w:val="28"/>
          <w:szCs w:val="28"/>
        </w:rPr>
      </w:pPr>
      <w:r>
        <w:rPr>
          <w:rFonts w:hint="eastAsia" w:ascii="仿宋" w:hAnsi="仿宋" w:eastAsia="仿宋" w:cs="仿宋"/>
          <w:sz w:val="28"/>
          <w:szCs w:val="28"/>
        </w:rPr>
        <w:t>⑥“三公经费”控制率，指标1分，得1分。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我单位2021年三公预算数0元，2021年三公经费执行数0元，控制率100%。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⑦政府采购执行率，指标1分，得1分。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我单位2021年计划采购项目0项，0项全部通过政府采购方式确定供应商，政府采购执行率100%。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⑧决算真实性，指标1分，得1分。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我单位2021年决算编制数据真实，决算报表数据与会计账簿数据一致。</w:t>
      </w:r>
    </w:p>
    <w:p>
      <w:pPr>
        <w:pStyle w:val="18"/>
        <w:ind w:firstLine="640"/>
        <w:rPr>
          <w:rFonts w:hint="eastAsia" w:ascii="仿宋" w:hAnsi="仿宋" w:eastAsia="仿宋" w:cs="仿宋"/>
          <w:sz w:val="28"/>
          <w:szCs w:val="28"/>
        </w:rPr>
      </w:pPr>
      <w:r>
        <w:rPr>
          <w:rFonts w:hint="eastAsia" w:ascii="仿宋" w:hAnsi="仿宋" w:eastAsia="仿宋" w:cs="仿宋"/>
          <w:sz w:val="28"/>
          <w:szCs w:val="28"/>
        </w:rPr>
        <w:t>⑨资金使用合规性，指标2分，得2分。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参照相关国家法律法规，在《内部控制基本制度》中制定了财务管理、资产管理等相关管理办法，且针对专项资金制定了《专项资金管理办法》，《办法》符合国家财经法规、财务法规和财务管理制度以及有关专项资金管理办法的规定；资金的拨付有完整的审批程序和手续；项目的重大开支需经过评估论证；符合部门预算批复的用途；2021年度资金不存在截留支出情况；不存在挤占支出情况；不存在挪用支出情况；不存在虚列支出情况。</w:t>
      </w:r>
    </w:p>
    <w:p>
      <w:pPr>
        <w:pStyle w:val="18"/>
        <w:ind w:firstLine="640"/>
        <w:rPr>
          <w:rFonts w:hint="eastAsia" w:ascii="仿宋" w:hAnsi="仿宋" w:eastAsia="仿宋" w:cs="仿宋"/>
          <w:sz w:val="28"/>
          <w:szCs w:val="28"/>
        </w:rPr>
      </w:pPr>
      <w:r>
        <w:rPr>
          <w:rFonts w:hint="eastAsia" w:ascii="仿宋" w:hAnsi="仿宋" w:eastAsia="仿宋" w:cs="仿宋"/>
          <w:sz w:val="28"/>
          <w:szCs w:val="28"/>
        </w:rPr>
        <w:t>⑩管理制度健全性，指标1分，得1分。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我单位根据相关法律法规制度，制定了《专项资金管理办法》和完整的内控制度，且2021年我单位均未发生资金支出、工作执行方面的违规情况，管理制度有效。</w:t>
      </w:r>
    </w:p>
    <w:p>
      <w:pPr>
        <w:pStyle w:val="18"/>
        <w:ind w:firstLine="640"/>
        <w:rPr>
          <w:rFonts w:hint="eastAsia" w:ascii="仿宋" w:hAnsi="仿宋" w:eastAsia="仿宋" w:cs="仿宋"/>
          <w:sz w:val="28"/>
          <w:szCs w:val="28"/>
        </w:rPr>
      </w:pPr>
      <w:r>
        <w:rPr>
          <w:rFonts w:hint="eastAsia" w:ascii="仿宋" w:hAnsi="仿宋" w:eastAsia="仿宋" w:cs="仿宋"/>
          <w:sz w:val="28"/>
          <w:szCs w:val="28"/>
        </w:rPr>
        <w:t>⑪预决算信息公开性，指标1分，得1分。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我单位认真落实《中华人民共和国政府信息公开条例》，按照政府信息“公开是原则，不公开是例外”的要求，做到“应公开，尽公开”，2021年预算信息已在“</w:t>
      </w:r>
      <w:r>
        <w:rPr>
          <w:rFonts w:hint="eastAsia" w:ascii="仿宋" w:hAnsi="仿宋" w:eastAsia="仿宋" w:cs="仿宋"/>
          <w:sz w:val="28"/>
          <w:szCs w:val="28"/>
          <w:lang w:eastAsia="zh-CN"/>
        </w:rPr>
        <w:t>太康</w:t>
      </w:r>
      <w:r>
        <w:rPr>
          <w:rFonts w:hint="eastAsia" w:ascii="仿宋" w:hAnsi="仿宋" w:eastAsia="仿宋" w:cs="仿宋"/>
          <w:sz w:val="28"/>
          <w:szCs w:val="28"/>
        </w:rPr>
        <w:t>县人民政府官网”公开，2021年决算信息待</w:t>
      </w:r>
      <w:r>
        <w:rPr>
          <w:rFonts w:hint="eastAsia" w:ascii="仿宋" w:hAnsi="仿宋" w:eastAsia="仿宋" w:cs="仿宋"/>
          <w:sz w:val="28"/>
          <w:szCs w:val="28"/>
          <w:lang w:eastAsia="zh-CN"/>
        </w:rPr>
        <w:t>太康</w:t>
      </w:r>
      <w:r>
        <w:rPr>
          <w:rFonts w:hint="eastAsia" w:ascii="仿宋" w:hAnsi="仿宋" w:eastAsia="仿宋" w:cs="仿宋"/>
          <w:sz w:val="28"/>
          <w:szCs w:val="28"/>
        </w:rPr>
        <w:t>县财政局审批通过，按照要求，及时公开。</w:t>
      </w:r>
    </w:p>
    <w:p>
      <w:pPr>
        <w:pStyle w:val="18"/>
        <w:ind w:firstLine="640"/>
        <w:rPr>
          <w:rFonts w:hint="eastAsia" w:ascii="仿宋" w:hAnsi="仿宋" w:eastAsia="仿宋" w:cs="仿宋"/>
          <w:sz w:val="28"/>
          <w:szCs w:val="28"/>
        </w:rPr>
      </w:pPr>
      <w:r>
        <w:rPr>
          <w:rFonts w:hint="eastAsia" w:ascii="仿宋" w:hAnsi="仿宋" w:eastAsia="仿宋" w:cs="仿宋"/>
          <w:sz w:val="28"/>
          <w:szCs w:val="28"/>
        </w:rPr>
        <w:t>⑫资产管理规范性，指标1分，得1分。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严格按照《国有资产管理内控制度》要求，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18"/>
        <w:ind w:firstLine="640"/>
        <w:rPr>
          <w:rFonts w:hint="eastAsia" w:ascii="仿宋" w:hAnsi="仿宋" w:eastAsia="仿宋" w:cs="仿宋"/>
          <w:sz w:val="28"/>
          <w:szCs w:val="28"/>
        </w:rPr>
      </w:pPr>
      <w:r>
        <w:rPr>
          <w:rFonts w:hint="eastAsia" w:ascii="仿宋" w:hAnsi="仿宋" w:eastAsia="仿宋" w:cs="仿宋"/>
          <w:sz w:val="28"/>
          <w:szCs w:val="28"/>
        </w:rPr>
        <w:t>（3）绩效管理</w:t>
      </w:r>
    </w:p>
    <w:p>
      <w:pPr>
        <w:pStyle w:val="18"/>
        <w:ind w:firstLine="640"/>
        <w:rPr>
          <w:rFonts w:hint="eastAsia" w:ascii="仿宋" w:hAnsi="仿宋" w:eastAsia="仿宋" w:cs="仿宋"/>
          <w:sz w:val="28"/>
          <w:szCs w:val="28"/>
        </w:rPr>
      </w:pPr>
      <w:r>
        <w:rPr>
          <w:rFonts w:hint="eastAsia" w:ascii="仿宋" w:hAnsi="仿宋" w:eastAsia="仿宋" w:cs="仿宋"/>
          <w:sz w:val="28"/>
          <w:szCs w:val="28"/>
        </w:rPr>
        <w:t>①绩效监控完成率，指标2分，得2分。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部门绩效监控完成率=已完成绩效监控项目数量/部门项目总数×100%。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2021年度我单位共实施1项目，应开展效监控1项目，实际开展绩效监控1个项目。部门绩效监控完成率为100%。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②绩效自评完成率，指标2分，得2分。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绩效自评完成率=已完成评价项目数量/部门项目总数×100%。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2021年度我单位共实施（1）项目，应开展绩效自评（1）项目，实际开展绩效自评（1）项目。部门绩效自评完成率为100%。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③部门绩效评价完成率，指标2分，得2分。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部门绩效评价完成率=已完成评价项目数量/部门重点绩效评价项目数×100%。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2021年度我单位应开展部门重点绩效评价（1）个项目，实际开展绩效评价（1）个项目。部门绩效自评完成率为100%。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④评价结果应用率，指标1分，得1分。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评价结果应用率=评价提出的意见建议采纳数/提出的意见建议总数100%。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2021年度我单位财政重点绩效评价未提出建议。评价结果应用率100%。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2.产出指标完成情况分析</w:t>
      </w:r>
    </w:p>
    <w:p>
      <w:pPr>
        <w:pStyle w:val="18"/>
        <w:ind w:firstLine="640"/>
        <w:rPr>
          <w:rFonts w:hint="eastAsia" w:ascii="仿宋" w:hAnsi="仿宋" w:eastAsia="仿宋" w:cs="仿宋"/>
          <w:sz w:val="28"/>
          <w:szCs w:val="28"/>
        </w:rPr>
      </w:pPr>
      <w:r>
        <w:rPr>
          <w:rFonts w:hint="eastAsia" w:ascii="仿宋" w:hAnsi="仿宋" w:eastAsia="仿宋" w:cs="仿宋"/>
          <w:sz w:val="28"/>
          <w:szCs w:val="28"/>
        </w:rPr>
        <w:t>（1）重点工作任务完成</w:t>
      </w:r>
    </w:p>
    <w:p>
      <w:pPr>
        <w:pStyle w:val="18"/>
        <w:ind w:firstLine="640"/>
        <w:rPr>
          <w:rFonts w:hint="eastAsia" w:ascii="仿宋" w:hAnsi="仿宋" w:eastAsia="仿宋" w:cs="仿宋"/>
          <w:sz w:val="28"/>
          <w:szCs w:val="28"/>
        </w:rPr>
      </w:pPr>
      <w:r>
        <w:rPr>
          <w:rFonts w:hint="eastAsia" w:ascii="仿宋" w:hAnsi="仿宋" w:eastAsia="仿宋" w:cs="仿宋"/>
          <w:sz w:val="28"/>
          <w:szCs w:val="28"/>
        </w:rPr>
        <w:t>①主要任务1：积极做好烈士纪念褒扬工作。完成率：100，指标8分，得8分。重点工作1实际完成率100%。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②主要任务2：全力做好省级双拥模范县创建。完成率：100，指标8分，得8分。重点工作2实际完成率100%。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③主要任务3：做好退役军人权益维护工作。完成率：100，指标4分，得4分。重点工作2实际完成率100%。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（2）履职目标实现</w:t>
      </w:r>
    </w:p>
    <w:p>
      <w:pPr>
        <w:pStyle w:val="18"/>
        <w:ind w:firstLine="640"/>
        <w:rPr>
          <w:rFonts w:hint="eastAsia" w:ascii="仿宋" w:hAnsi="仿宋" w:eastAsia="仿宋" w:cs="仿宋"/>
          <w:sz w:val="28"/>
          <w:szCs w:val="28"/>
        </w:rPr>
      </w:pPr>
      <w:r>
        <w:rPr>
          <w:rFonts w:hint="eastAsia" w:ascii="仿宋" w:hAnsi="仿宋" w:eastAsia="仿宋" w:cs="仿宋"/>
          <w:sz w:val="28"/>
          <w:szCs w:val="28"/>
        </w:rPr>
        <w:t>①目标1实现率：100%。指标9分，得9分。年度工作目标1实现率100%。</w:t>
      </w:r>
    </w:p>
    <w:p>
      <w:pPr>
        <w:pStyle w:val="18"/>
        <w:ind w:firstLine="640"/>
        <w:rPr>
          <w:rFonts w:hint="eastAsia" w:ascii="仿宋" w:hAnsi="仿宋" w:eastAsia="仿宋" w:cs="仿宋"/>
          <w:sz w:val="28"/>
          <w:szCs w:val="28"/>
        </w:rPr>
      </w:pPr>
      <w:r>
        <w:rPr>
          <w:rFonts w:hint="eastAsia" w:ascii="仿宋" w:hAnsi="仿宋" w:eastAsia="仿宋" w:cs="仿宋"/>
          <w:sz w:val="28"/>
          <w:szCs w:val="28"/>
        </w:rPr>
        <w:t>3.效益指标完成情况分析</w:t>
      </w:r>
    </w:p>
    <w:p>
      <w:pPr>
        <w:pStyle w:val="18"/>
        <w:ind w:firstLine="640"/>
        <w:rPr>
          <w:rFonts w:hint="eastAsia" w:ascii="仿宋" w:hAnsi="仿宋" w:eastAsia="仿宋" w:cs="仿宋"/>
          <w:sz w:val="28"/>
          <w:szCs w:val="28"/>
        </w:rPr>
      </w:pPr>
      <w:r>
        <w:rPr>
          <w:rFonts w:hint="eastAsia" w:ascii="仿宋" w:hAnsi="仿宋" w:eastAsia="仿宋" w:cs="仿宋"/>
          <w:sz w:val="28"/>
          <w:szCs w:val="28"/>
        </w:rPr>
        <w:t>一级指标“效益指标”下设2个二级指标分别是：“社会效益”和“满意度”。</w:t>
      </w:r>
    </w:p>
    <w:p>
      <w:pPr>
        <w:pStyle w:val="18"/>
        <w:ind w:firstLine="640"/>
        <w:rPr>
          <w:rFonts w:hint="eastAsia" w:ascii="仿宋" w:hAnsi="仿宋" w:eastAsia="仿宋" w:cs="仿宋"/>
          <w:sz w:val="28"/>
          <w:szCs w:val="28"/>
        </w:rPr>
      </w:pPr>
      <w:r>
        <w:rPr>
          <w:rFonts w:hint="eastAsia" w:ascii="仿宋" w:hAnsi="仿宋" w:eastAsia="仿宋" w:cs="仿宋"/>
          <w:sz w:val="28"/>
          <w:szCs w:val="28"/>
        </w:rPr>
        <w:t>（1）社会效益</w:t>
      </w:r>
    </w:p>
    <w:p>
      <w:pPr>
        <w:pStyle w:val="18"/>
        <w:ind w:firstLine="640"/>
        <w:rPr>
          <w:rFonts w:hint="eastAsia" w:ascii="仿宋" w:hAnsi="仿宋" w:eastAsia="仿宋" w:cs="仿宋"/>
          <w:sz w:val="28"/>
          <w:szCs w:val="28"/>
        </w:rPr>
      </w:pPr>
      <w:r>
        <w:rPr>
          <w:rFonts w:hint="eastAsia" w:ascii="仿宋" w:hAnsi="仿宋" w:eastAsia="仿宋" w:cs="仿宋"/>
          <w:sz w:val="28"/>
          <w:szCs w:val="28"/>
        </w:rPr>
        <w:t>项目的完成有效的推进全县退役军人事业稳步发展。指标17分，得分16。5分。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（3）满意度</w:t>
      </w:r>
    </w:p>
    <w:p>
      <w:pPr>
        <w:pStyle w:val="18"/>
        <w:ind w:firstLine="640"/>
        <w:rPr>
          <w:rFonts w:hint="eastAsia" w:ascii="仿宋" w:hAnsi="仿宋" w:eastAsia="仿宋" w:cs="仿宋"/>
          <w:sz w:val="28"/>
          <w:szCs w:val="28"/>
        </w:rPr>
      </w:pPr>
      <w:r>
        <w:rPr>
          <w:rFonts w:hint="eastAsia" w:ascii="仿宋" w:hAnsi="仿宋" w:eastAsia="仿宋" w:cs="仿宋"/>
          <w:sz w:val="28"/>
          <w:szCs w:val="28"/>
        </w:rPr>
        <w:t>群众满意度达到90%，指标18分，得18分。</w:t>
      </w:r>
    </w:p>
    <w:p>
      <w:pPr>
        <w:pStyle w:val="18"/>
        <w:ind w:firstLine="640"/>
        <w:rPr>
          <w:rFonts w:hint="eastAsia" w:ascii="仿宋" w:hAnsi="仿宋" w:eastAsia="仿宋" w:cs="仿宋"/>
          <w:sz w:val="28"/>
          <w:szCs w:val="28"/>
        </w:rPr>
      </w:pPr>
      <w:r>
        <w:rPr>
          <w:rFonts w:hint="eastAsia" w:ascii="仿宋" w:hAnsi="仿宋" w:eastAsia="仿宋" w:cs="仿宋"/>
          <w:sz w:val="28"/>
          <w:szCs w:val="28"/>
        </w:rPr>
        <w:t>单位满意度问卷共发放200份，回收问卷200份，其中有效问卷200份，问卷有效率100%。</w:t>
      </w:r>
    </w:p>
    <w:p>
      <w:pPr>
        <w:pStyle w:val="3"/>
        <w:rPr>
          <w:rFonts w:hint="eastAsia" w:ascii="仿宋" w:hAnsi="仿宋" w:eastAsia="仿宋" w:cs="仿宋"/>
          <w:sz w:val="28"/>
          <w:szCs w:val="28"/>
        </w:rPr>
      </w:pPr>
      <w:bookmarkStart w:id="25" w:name="_Toc22457"/>
      <w:r>
        <w:rPr>
          <w:rFonts w:hint="eastAsia" w:ascii="仿宋" w:hAnsi="仿宋" w:eastAsia="仿宋" w:cs="仿宋"/>
          <w:sz w:val="28"/>
          <w:szCs w:val="28"/>
        </w:rPr>
        <w:t>五、发现的主要问题和改进措施</w:t>
      </w:r>
      <w:bookmarkEnd w:id="25"/>
    </w:p>
    <w:p>
      <w:pPr>
        <w:pStyle w:val="18"/>
        <w:ind w:firstLine="640"/>
        <w:rPr>
          <w:rFonts w:hint="eastAsia" w:ascii="仿宋" w:hAnsi="仿宋" w:eastAsia="仿宋" w:cs="仿宋"/>
          <w:sz w:val="28"/>
          <w:szCs w:val="28"/>
        </w:rPr>
      </w:pPr>
      <w:r>
        <w:rPr>
          <w:rFonts w:hint="eastAsia" w:ascii="仿宋" w:hAnsi="仿宋" w:eastAsia="仿宋" w:cs="仿宋"/>
          <w:sz w:val="28"/>
          <w:szCs w:val="28"/>
        </w:rPr>
        <w:t>通过本次绩效自评，我单位在预算支出管理方面还存在以下几方面的问题：</w:t>
      </w:r>
    </w:p>
    <w:p>
      <w:pPr>
        <w:pStyle w:val="4"/>
        <w:rPr>
          <w:rFonts w:hint="eastAsia" w:ascii="仿宋" w:hAnsi="仿宋" w:eastAsia="仿宋" w:cs="仿宋"/>
          <w:sz w:val="28"/>
          <w:szCs w:val="28"/>
        </w:rPr>
      </w:pPr>
      <w:bookmarkStart w:id="26" w:name="_Toc1104"/>
      <w:r>
        <w:rPr>
          <w:rFonts w:hint="eastAsia" w:ascii="仿宋" w:hAnsi="仿宋" w:eastAsia="仿宋" w:cs="仿宋"/>
          <w:sz w:val="28"/>
          <w:szCs w:val="28"/>
        </w:rPr>
        <w:t>（一）发现的主要问题</w:t>
      </w:r>
      <w:bookmarkEnd w:id="26"/>
    </w:p>
    <w:p>
      <w:pPr>
        <w:pStyle w:val="18"/>
        <w:ind w:firstLine="640"/>
        <w:rPr>
          <w:rFonts w:hint="eastAsia" w:ascii="仿宋" w:hAnsi="仿宋" w:eastAsia="仿宋" w:cs="仿宋"/>
          <w:sz w:val="28"/>
          <w:szCs w:val="28"/>
        </w:rPr>
      </w:pPr>
      <w:bookmarkStart w:id="27" w:name="_Toc5996"/>
      <w:r>
        <w:rPr>
          <w:rFonts w:hint="eastAsia" w:ascii="仿宋" w:hAnsi="仿宋" w:eastAsia="仿宋" w:cs="仿宋"/>
          <w:sz w:val="28"/>
          <w:szCs w:val="28"/>
        </w:rPr>
        <w:t>由于绩效评价是一项开展不久的工作任务，尤其是部门整体绩效评价，实践经验还欠缺，我单位相关人员配备还显不足，相关制度建设还有待进一步加强。</w:t>
      </w:r>
      <w:bookmarkEnd w:id="27"/>
    </w:p>
    <w:p>
      <w:pPr>
        <w:pStyle w:val="4"/>
        <w:rPr>
          <w:rFonts w:hint="eastAsia" w:ascii="仿宋" w:hAnsi="仿宋" w:eastAsia="仿宋" w:cs="仿宋"/>
          <w:sz w:val="28"/>
          <w:szCs w:val="28"/>
          <w:lang w:val="zh-CN"/>
        </w:rPr>
      </w:pPr>
      <w:bookmarkStart w:id="28" w:name="_Toc17027"/>
      <w:r>
        <w:rPr>
          <w:rFonts w:hint="eastAsia" w:ascii="仿宋" w:hAnsi="仿宋" w:eastAsia="仿宋" w:cs="仿宋"/>
          <w:sz w:val="28"/>
          <w:szCs w:val="28"/>
        </w:rPr>
        <w:t>（二）</w:t>
      </w:r>
      <w:r>
        <w:rPr>
          <w:rFonts w:hint="eastAsia" w:ascii="仿宋" w:hAnsi="仿宋" w:eastAsia="仿宋" w:cs="仿宋"/>
          <w:sz w:val="28"/>
          <w:szCs w:val="28"/>
          <w:lang w:val="zh-CN"/>
        </w:rPr>
        <w:t>下一步改进措施</w:t>
      </w:r>
      <w:bookmarkEnd w:id="28"/>
    </w:p>
    <w:p>
      <w:pPr>
        <w:pStyle w:val="18"/>
        <w:ind w:firstLine="640"/>
        <w:rPr>
          <w:rFonts w:hint="eastAsia" w:ascii="仿宋" w:hAnsi="仿宋" w:eastAsia="仿宋" w:cs="仿宋"/>
          <w:sz w:val="28"/>
          <w:szCs w:val="28"/>
        </w:rPr>
      </w:pPr>
      <w:r>
        <w:rPr>
          <w:rFonts w:hint="eastAsia" w:ascii="仿宋" w:hAnsi="仿宋" w:eastAsia="仿宋" w:cs="仿宋"/>
          <w:sz w:val="28"/>
          <w:szCs w:val="28"/>
          <w:lang w:val="zh-CN"/>
        </w:rPr>
        <w:t>根据今后的工作任务和要求，吸取前年工作的经验，明确努力方向，加强绩效评价在目标上的设定，完善绩效评价内容。</w:t>
      </w:r>
      <w:bookmarkStart w:id="29" w:name="_Toc4527"/>
    </w:p>
    <w:p>
      <w:pPr>
        <w:pStyle w:val="4"/>
        <w:rPr>
          <w:rFonts w:hint="eastAsia" w:ascii="仿宋" w:hAnsi="仿宋" w:eastAsia="仿宋" w:cs="仿宋"/>
          <w:sz w:val="28"/>
          <w:szCs w:val="28"/>
        </w:rPr>
      </w:pPr>
      <w:bookmarkStart w:id="30" w:name="_Toc23218"/>
      <w:r>
        <w:rPr>
          <w:rFonts w:hint="eastAsia" w:ascii="仿宋" w:hAnsi="仿宋" w:eastAsia="仿宋" w:cs="仿宋"/>
          <w:sz w:val="28"/>
          <w:szCs w:val="28"/>
        </w:rPr>
        <w:t>（三）绩效自评结果应用</w:t>
      </w:r>
      <w:bookmarkEnd w:id="30"/>
    </w:p>
    <w:p>
      <w:pPr>
        <w:pStyle w:val="18"/>
        <w:ind w:firstLine="643"/>
        <w:rPr>
          <w:rFonts w:hint="eastAsia" w:ascii="仿宋" w:hAnsi="仿宋" w:eastAsia="仿宋" w:cs="仿宋"/>
          <w:b/>
          <w:bCs/>
          <w:sz w:val="28"/>
          <w:szCs w:val="28"/>
        </w:rPr>
      </w:pPr>
      <w:r>
        <w:rPr>
          <w:rFonts w:hint="eastAsia" w:ascii="仿宋" w:hAnsi="仿宋" w:eastAsia="仿宋" w:cs="仿宋"/>
          <w:b/>
          <w:bCs/>
          <w:sz w:val="28"/>
          <w:szCs w:val="28"/>
        </w:rPr>
        <w:t>1.以绩效评价结果应用为目标，坚持报告与公开相结合</w:t>
      </w:r>
      <w:bookmarkEnd w:id="29"/>
    </w:p>
    <w:p>
      <w:pPr>
        <w:pStyle w:val="18"/>
        <w:ind w:firstLine="640"/>
        <w:rPr>
          <w:rFonts w:hint="eastAsia" w:ascii="仿宋" w:hAnsi="仿宋" w:eastAsia="仿宋" w:cs="仿宋"/>
          <w:sz w:val="28"/>
          <w:szCs w:val="28"/>
        </w:rPr>
      </w:pPr>
      <w:r>
        <w:rPr>
          <w:rFonts w:hint="eastAsia" w:ascii="仿宋" w:hAnsi="仿宋" w:eastAsia="仿宋" w:cs="仿宋"/>
          <w:sz w:val="28"/>
          <w:szCs w:val="28"/>
        </w:rPr>
        <w:t>为加强绩效评价结果的应用，根据太康县财政局相关文件的要求，2021年度部门整体绩效自评报告及自评表按时上报财政局，将绩效评价结果应用于下一年的预算编制。</w:t>
      </w:r>
    </w:p>
    <w:p>
      <w:pPr>
        <w:pStyle w:val="18"/>
        <w:ind w:firstLine="643"/>
        <w:rPr>
          <w:rFonts w:hint="eastAsia" w:ascii="仿宋" w:hAnsi="仿宋" w:eastAsia="仿宋" w:cs="仿宋"/>
          <w:b/>
          <w:bCs/>
          <w:sz w:val="28"/>
          <w:szCs w:val="28"/>
        </w:rPr>
      </w:pPr>
      <w:bookmarkStart w:id="31" w:name="_Toc1950"/>
      <w:r>
        <w:rPr>
          <w:rFonts w:hint="eastAsia" w:ascii="仿宋" w:hAnsi="仿宋" w:eastAsia="仿宋" w:cs="仿宋"/>
          <w:b/>
          <w:bCs/>
          <w:sz w:val="28"/>
          <w:szCs w:val="28"/>
        </w:rPr>
        <w:t>2.以绩效评价反馈问题为导向，提出整改的思路和办法</w:t>
      </w:r>
      <w:bookmarkEnd w:id="31"/>
    </w:p>
    <w:p>
      <w:pPr>
        <w:pStyle w:val="18"/>
        <w:ind w:firstLine="640"/>
        <w:rPr>
          <w:rFonts w:hint="eastAsia" w:ascii="仿宋" w:hAnsi="仿宋" w:eastAsia="仿宋" w:cs="仿宋"/>
          <w:sz w:val="28"/>
          <w:szCs w:val="28"/>
          <w:lang w:val="zh-CN"/>
        </w:rPr>
      </w:pPr>
      <w:r>
        <w:rPr>
          <w:rFonts w:hint="eastAsia" w:ascii="仿宋" w:hAnsi="仿宋" w:eastAsia="仿宋" w:cs="仿宋"/>
          <w:sz w:val="28"/>
          <w:szCs w:val="28"/>
        </w:rPr>
        <w:t>根据绩效自评结果，要求各业务单位进一步分析绩效目标未完成的原因，发现部门工作存在的问题，提出整改思路和解决办法，结合问卷中社会公众的相关意见和建议，以问题为导向，扎实推进我局各项工作发展。</w:t>
      </w:r>
    </w:p>
    <w:p>
      <w:pPr>
        <w:pStyle w:val="3"/>
        <w:rPr>
          <w:rFonts w:hint="eastAsia" w:ascii="仿宋" w:hAnsi="仿宋" w:eastAsia="仿宋" w:cs="仿宋"/>
          <w:sz w:val="28"/>
          <w:szCs w:val="28"/>
        </w:rPr>
      </w:pPr>
      <w:bookmarkStart w:id="32" w:name="_Toc32190"/>
      <w:r>
        <w:rPr>
          <w:rFonts w:hint="eastAsia" w:ascii="仿宋" w:hAnsi="仿宋" w:eastAsia="仿宋" w:cs="仿宋"/>
          <w:sz w:val="28"/>
          <w:szCs w:val="28"/>
        </w:rPr>
        <w:t>六、有关建议</w:t>
      </w:r>
      <w:bookmarkEnd w:id="32"/>
    </w:p>
    <w:p>
      <w:pPr>
        <w:pStyle w:val="18"/>
        <w:ind w:firstLine="640"/>
        <w:rPr>
          <w:rFonts w:hint="eastAsia" w:ascii="仿宋" w:hAnsi="仿宋" w:eastAsia="仿宋" w:cs="仿宋"/>
          <w:sz w:val="28"/>
          <w:szCs w:val="28"/>
        </w:rPr>
      </w:pPr>
      <w:r>
        <w:rPr>
          <w:rFonts w:hint="eastAsia" w:ascii="仿宋" w:hAnsi="仿宋" w:eastAsia="仿宋" w:cs="仿宋"/>
          <w:sz w:val="28"/>
          <w:szCs w:val="28"/>
        </w:rPr>
        <w:t>通过此次绩效自评工作的开展，我单位意识到自身需加强绩效管理，培养工作人员的绩效管理意识，增加相关人员绩效管理知识性和系统性的培训，使今后绩效管理的工作能够更好的开展。</w:t>
      </w:r>
    </w:p>
    <w:p>
      <w:pPr>
        <w:pStyle w:val="3"/>
        <w:rPr>
          <w:rFonts w:hint="eastAsia" w:ascii="仿宋" w:hAnsi="仿宋" w:eastAsia="仿宋" w:cs="仿宋"/>
          <w:sz w:val="28"/>
          <w:szCs w:val="28"/>
        </w:rPr>
      </w:pPr>
      <w:bookmarkStart w:id="33" w:name="_Toc26117"/>
      <w:r>
        <w:rPr>
          <w:rFonts w:hint="eastAsia" w:ascii="仿宋" w:hAnsi="仿宋" w:eastAsia="仿宋" w:cs="仿宋"/>
          <w:sz w:val="28"/>
          <w:szCs w:val="28"/>
        </w:rPr>
        <w:t>七、其他需要说明的问题</w:t>
      </w:r>
      <w:bookmarkEnd w:id="33"/>
    </w:p>
    <w:p>
      <w:pPr>
        <w:pStyle w:val="4"/>
        <w:rPr>
          <w:rFonts w:hint="eastAsia" w:ascii="仿宋" w:hAnsi="仿宋" w:eastAsia="仿宋" w:cs="仿宋"/>
          <w:sz w:val="28"/>
          <w:szCs w:val="28"/>
        </w:rPr>
      </w:pPr>
      <w:bookmarkStart w:id="34" w:name="_Toc15457"/>
      <w:bookmarkStart w:id="35" w:name="_Toc85"/>
      <w:r>
        <w:rPr>
          <w:rFonts w:hint="eastAsia" w:ascii="仿宋" w:hAnsi="仿宋" w:eastAsia="仿宋" w:cs="仿宋"/>
          <w:sz w:val="28"/>
          <w:szCs w:val="28"/>
        </w:rPr>
        <w:t>（一）绩效自评工作经验</w:t>
      </w:r>
      <w:bookmarkEnd w:id="34"/>
      <w:bookmarkEnd w:id="35"/>
    </w:p>
    <w:p>
      <w:pPr>
        <w:pStyle w:val="18"/>
        <w:ind w:firstLine="640"/>
        <w:rPr>
          <w:rFonts w:hint="eastAsia" w:ascii="仿宋" w:hAnsi="仿宋" w:eastAsia="仿宋" w:cs="仿宋"/>
          <w:sz w:val="28"/>
          <w:szCs w:val="28"/>
        </w:rPr>
      </w:pPr>
      <w:r>
        <w:rPr>
          <w:rFonts w:hint="eastAsia" w:ascii="仿宋" w:hAnsi="仿宋" w:eastAsia="仿宋" w:cs="仿宋"/>
          <w:sz w:val="28"/>
          <w:szCs w:val="28"/>
        </w:rPr>
        <w:t>我单位通过此次部门整体绩效自评，我单位充分了解到本级部门的整体运行情况和工作开展进度、成效及不足之处。</w:t>
      </w:r>
    </w:p>
    <w:p>
      <w:pPr>
        <w:pStyle w:val="18"/>
        <w:ind w:firstLine="640"/>
        <w:rPr>
          <w:rFonts w:hint="eastAsia" w:ascii="仿宋" w:hAnsi="仿宋" w:eastAsia="仿宋" w:cs="仿宋"/>
          <w:sz w:val="28"/>
          <w:szCs w:val="28"/>
          <w:highlight w:val="yellow"/>
        </w:rPr>
      </w:pPr>
      <w:r>
        <w:rPr>
          <w:rFonts w:hint="eastAsia" w:ascii="仿宋" w:hAnsi="仿宋" w:eastAsia="仿宋" w:cs="仿宋"/>
          <w:sz w:val="28"/>
          <w:szCs w:val="28"/>
        </w:rPr>
        <w:t>此次评价发现的相关问题和经验，为我单位今后的工作规划提供了借鉴、能够指导今后工作实际开展，促使我单位内部管理的系统化和规范化。</w:t>
      </w:r>
    </w:p>
    <w:p>
      <w:pPr>
        <w:pStyle w:val="4"/>
        <w:rPr>
          <w:rFonts w:hint="eastAsia" w:ascii="仿宋" w:hAnsi="仿宋" w:eastAsia="仿宋" w:cs="仿宋"/>
          <w:sz w:val="28"/>
          <w:szCs w:val="28"/>
        </w:rPr>
      </w:pPr>
      <w:bookmarkStart w:id="36" w:name="_Toc5863"/>
      <w:bookmarkStart w:id="37" w:name="_Toc16742"/>
      <w:r>
        <w:rPr>
          <w:rFonts w:hint="eastAsia" w:ascii="仿宋" w:hAnsi="仿宋" w:eastAsia="仿宋" w:cs="仿宋"/>
          <w:sz w:val="28"/>
          <w:szCs w:val="28"/>
        </w:rPr>
        <w:t>（二）绩效自评工作发现的其他问题</w:t>
      </w:r>
      <w:bookmarkEnd w:id="36"/>
      <w:bookmarkEnd w:id="37"/>
    </w:p>
    <w:p>
      <w:pPr>
        <w:pStyle w:val="18"/>
        <w:ind w:firstLine="640"/>
        <w:rPr>
          <w:rFonts w:hint="eastAsia" w:ascii="仿宋" w:hAnsi="仿宋" w:eastAsia="仿宋" w:cs="仿宋"/>
          <w:sz w:val="28"/>
          <w:szCs w:val="28"/>
        </w:rPr>
      </w:pPr>
      <w:bookmarkStart w:id="38" w:name="_Toc32143"/>
      <w:bookmarkStart w:id="39" w:name="_Toc20640"/>
      <w:bookmarkStart w:id="40" w:name="_Toc24424"/>
      <w:r>
        <w:rPr>
          <w:rFonts w:hint="eastAsia" w:ascii="仿宋" w:hAnsi="仿宋" w:eastAsia="仿宋" w:cs="仿宋"/>
          <w:sz w:val="28"/>
          <w:szCs w:val="28"/>
        </w:rPr>
        <w:t>建议太康县财政局继续加强绩效评价培训工作。我单位将继续贯彻落实中央、省、市、县全面实施预算绩效管理的要求，做好预算项目资金合理统筹安排，做好绩效自评工作，及评价结果的应用。</w:t>
      </w:r>
    </w:p>
    <w:p>
      <w:pPr>
        <w:pStyle w:val="18"/>
        <w:ind w:firstLine="640"/>
        <w:rPr>
          <w:rFonts w:hint="eastAsia" w:ascii="仿宋" w:hAnsi="仿宋" w:cs="仿宋"/>
          <w:sz w:val="28"/>
          <w:szCs w:val="28"/>
          <w:lang w:eastAsia="zh-CN"/>
        </w:rPr>
      </w:pPr>
      <w:r>
        <w:rPr>
          <w:rFonts w:hint="eastAsia" w:ascii="仿宋" w:hAnsi="仿宋" w:eastAsia="仿宋" w:cs="仿宋"/>
          <w:sz w:val="28"/>
          <w:szCs w:val="28"/>
        </w:rPr>
        <w:t>我单位绩效评价工作虽然已定期开展，但如何把绩效评价做得更好更合理，以评价方式促进预算执行和预算单位依法履职，经验尚有不足</w:t>
      </w:r>
      <w:bookmarkStart w:id="41" w:name="_Toc14584"/>
      <w:r>
        <w:rPr>
          <w:rFonts w:hint="eastAsia" w:ascii="仿宋" w:hAnsi="仿宋" w:eastAsia="仿宋" w:cs="仿宋"/>
          <w:sz w:val="28"/>
          <w:szCs w:val="28"/>
        </w:rPr>
        <w:t>，建议县财政局继续加强绩效业务培训</w:t>
      </w:r>
      <w:r>
        <w:rPr>
          <w:rFonts w:hint="eastAsia" w:ascii="仿宋" w:hAnsi="仿宋" w:cs="仿宋"/>
          <w:sz w:val="28"/>
          <w:szCs w:val="28"/>
          <w:lang w:eastAsia="zh-CN"/>
        </w:rPr>
        <w:t>。</w:t>
      </w:r>
    </w:p>
    <w:p>
      <w:pPr>
        <w:pStyle w:val="18"/>
        <w:ind w:firstLine="640"/>
        <w:rPr>
          <w:rFonts w:hint="eastAsia" w:ascii="仿宋" w:hAnsi="仿宋" w:cs="仿宋"/>
          <w:sz w:val="28"/>
          <w:szCs w:val="28"/>
          <w:lang w:eastAsia="zh-CN"/>
        </w:rPr>
      </w:pPr>
    </w:p>
    <w:p>
      <w:pPr>
        <w:pStyle w:val="3"/>
        <w:rPr>
          <w:highlight w:val="yellow"/>
        </w:rPr>
      </w:pPr>
      <w:r>
        <w:rPr>
          <w:rFonts w:hint="eastAsia"/>
        </w:rPr>
        <w:t>附件1：</w:t>
      </w:r>
      <w:bookmarkStart w:id="42" w:name="_Toc9225"/>
      <w:r>
        <w:rPr>
          <w:rFonts w:hint="eastAsia"/>
        </w:rPr>
        <w:t>2021年度部门整体绩效自评表</w:t>
      </w:r>
      <w:bookmarkEnd w:id="42"/>
    </w:p>
    <w:p>
      <w:pPr>
        <w:pStyle w:val="18"/>
        <w:ind w:firstLine="640"/>
        <w:rPr>
          <w:rFonts w:hint="eastAsia" w:ascii="仿宋" w:hAnsi="仿宋" w:cs="仿宋"/>
          <w:sz w:val="28"/>
          <w:szCs w:val="28"/>
          <w:lang w:eastAsia="zh-CN"/>
        </w:rPr>
        <w:sectPr>
          <w:footerReference r:id="rId12" w:type="default"/>
          <w:pgSz w:w="11906" w:h="16838"/>
          <w:pgMar w:top="1440" w:right="1800" w:bottom="1440" w:left="1800" w:header="851" w:footer="992" w:gutter="0"/>
          <w:cols w:space="425" w:num="1"/>
          <w:docGrid w:type="lines" w:linePitch="312" w:charSpace="0"/>
        </w:sectPr>
      </w:pPr>
    </w:p>
    <w:bookmarkEnd w:id="38"/>
    <w:bookmarkEnd w:id="39"/>
    <w:bookmarkEnd w:id="40"/>
    <w:bookmarkEnd w:id="41"/>
    <w:p>
      <w:pPr>
        <w:pStyle w:val="18"/>
        <w:ind w:firstLine="640"/>
        <w:rPr>
          <w:rFonts w:hint="default"/>
        </w:rPr>
      </w:pPr>
    </w:p>
    <w:sectPr>
      <w:footerReference r:id="rId13" w:type="default"/>
      <w:pgSz w:w="16838" w:h="11906" w:orient="landscape"/>
      <w:pgMar w:top="1800" w:right="1440" w:bottom="1800" w:left="144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2">
      <wne:acd wne:acdName="acd0"/>
    </wne:keymap>
    <wne:keymap wne:kcmPrimary="0433">
      <wne:acd wne:acdName="acd1"/>
    </wne:keymap>
    <wne:keymap wne:kcmPrimary="0435">
      <wne:acd wne:acdName="acd2"/>
    </wne:keymap>
    <wne:keymap wne:kcmPrimary="0436">
      <wne:acd wne:acdName="acd3"/>
    </wne:keymap>
  </wne:keymaps>
  <wne:acds>
    <wne:acd wne:argValue="AQAAAAIA" wne:acdName="acd0" wne:fciIndexBasedOn="0065"/>
    <wne:acd wne:argValue="AQAAAAMA" wne:acdName="acd1" wne:fciIndexBasedOn="0065"/>
    <wne:acd wne:argValue="AgBoiDxo" wne:acdName="acd2" wne:fciIndexBasedOn="0065"/>
    <wne:acd wne:argValue="AgAtZkNRY2uHZQ=="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华文仿宋">
    <w:altName w:val="仿宋"/>
    <w:panose1 w:val="02010600040101010101"/>
    <w:charset w:val="86"/>
    <w:family w:val="auto"/>
    <w:pitch w:val="default"/>
    <w:sig w:usb0="00000000" w:usb1="00000000" w:usb2="00000010" w:usb3="00000000" w:csb0="000400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640"/>
      <w:rPr>
        <w:rFonts w:hint="default"/>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640"/>
      <w:rPr>
        <w:rFonts w:hint="default"/>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60"/>
  <w:drawingGridVerticalSpacing w:val="435"/>
  <w:displayHorizont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mZjIyNTI5NzI3YjY2ZDZiZWYyOTVhMmE2NTA2ZjQifQ=="/>
  </w:docVars>
  <w:rsids>
    <w:rsidRoot w:val="00172A27"/>
    <w:rsid w:val="0004155C"/>
    <w:rsid w:val="0005190D"/>
    <w:rsid w:val="0007741B"/>
    <w:rsid w:val="000B398F"/>
    <w:rsid w:val="000C158A"/>
    <w:rsid w:val="000C3F75"/>
    <w:rsid w:val="00113617"/>
    <w:rsid w:val="00156AAE"/>
    <w:rsid w:val="0016062F"/>
    <w:rsid w:val="00172A27"/>
    <w:rsid w:val="001A5975"/>
    <w:rsid w:val="002063A6"/>
    <w:rsid w:val="00217721"/>
    <w:rsid w:val="00217BE1"/>
    <w:rsid w:val="003467F6"/>
    <w:rsid w:val="003A2A15"/>
    <w:rsid w:val="003C451C"/>
    <w:rsid w:val="003D26A3"/>
    <w:rsid w:val="003E1C2D"/>
    <w:rsid w:val="00402072"/>
    <w:rsid w:val="004A4E76"/>
    <w:rsid w:val="00530281"/>
    <w:rsid w:val="0055721E"/>
    <w:rsid w:val="0057125B"/>
    <w:rsid w:val="005A2D8A"/>
    <w:rsid w:val="005B6C7B"/>
    <w:rsid w:val="005C2600"/>
    <w:rsid w:val="005E07BB"/>
    <w:rsid w:val="00606ACD"/>
    <w:rsid w:val="00613F1A"/>
    <w:rsid w:val="006225BA"/>
    <w:rsid w:val="007042C6"/>
    <w:rsid w:val="00707454"/>
    <w:rsid w:val="007B662D"/>
    <w:rsid w:val="007C2174"/>
    <w:rsid w:val="008072B7"/>
    <w:rsid w:val="00853741"/>
    <w:rsid w:val="00860A4C"/>
    <w:rsid w:val="00870BA1"/>
    <w:rsid w:val="00894645"/>
    <w:rsid w:val="008C0FCF"/>
    <w:rsid w:val="008E389C"/>
    <w:rsid w:val="00900AAF"/>
    <w:rsid w:val="009152CB"/>
    <w:rsid w:val="00932C64"/>
    <w:rsid w:val="00963FAA"/>
    <w:rsid w:val="009A6279"/>
    <w:rsid w:val="009C6DC9"/>
    <w:rsid w:val="00A43AC0"/>
    <w:rsid w:val="00A52463"/>
    <w:rsid w:val="00AC6175"/>
    <w:rsid w:val="00AD62C2"/>
    <w:rsid w:val="00B141E0"/>
    <w:rsid w:val="00B2771E"/>
    <w:rsid w:val="00B352C9"/>
    <w:rsid w:val="00B409E8"/>
    <w:rsid w:val="00B663C2"/>
    <w:rsid w:val="00B75376"/>
    <w:rsid w:val="00BA77CE"/>
    <w:rsid w:val="00BB275D"/>
    <w:rsid w:val="00BB6007"/>
    <w:rsid w:val="00BD276D"/>
    <w:rsid w:val="00C01646"/>
    <w:rsid w:val="00C376D1"/>
    <w:rsid w:val="00C843BC"/>
    <w:rsid w:val="00C94756"/>
    <w:rsid w:val="00C96482"/>
    <w:rsid w:val="00CA56A0"/>
    <w:rsid w:val="00CF0E08"/>
    <w:rsid w:val="00D403CC"/>
    <w:rsid w:val="00D72792"/>
    <w:rsid w:val="00E160FC"/>
    <w:rsid w:val="00E45C70"/>
    <w:rsid w:val="00E8517F"/>
    <w:rsid w:val="00EE6896"/>
    <w:rsid w:val="00F02B46"/>
    <w:rsid w:val="00F13587"/>
    <w:rsid w:val="00FE370F"/>
    <w:rsid w:val="022D2CB9"/>
    <w:rsid w:val="0232724F"/>
    <w:rsid w:val="03687896"/>
    <w:rsid w:val="03CF39B3"/>
    <w:rsid w:val="03E3527A"/>
    <w:rsid w:val="04770117"/>
    <w:rsid w:val="049E548E"/>
    <w:rsid w:val="04F35A41"/>
    <w:rsid w:val="05310285"/>
    <w:rsid w:val="06022C39"/>
    <w:rsid w:val="0612781D"/>
    <w:rsid w:val="067D4911"/>
    <w:rsid w:val="06CD2CAD"/>
    <w:rsid w:val="06D44DB6"/>
    <w:rsid w:val="073C001E"/>
    <w:rsid w:val="073C7E19"/>
    <w:rsid w:val="07BB51B4"/>
    <w:rsid w:val="07EC720E"/>
    <w:rsid w:val="08976DB6"/>
    <w:rsid w:val="09517008"/>
    <w:rsid w:val="09FC6C3A"/>
    <w:rsid w:val="0BA212E3"/>
    <w:rsid w:val="0BC67F78"/>
    <w:rsid w:val="0C2B3B54"/>
    <w:rsid w:val="0CAE231F"/>
    <w:rsid w:val="0D08223B"/>
    <w:rsid w:val="0DAC117D"/>
    <w:rsid w:val="0DC63D28"/>
    <w:rsid w:val="0EF760A8"/>
    <w:rsid w:val="0F0A5349"/>
    <w:rsid w:val="101957F6"/>
    <w:rsid w:val="10403E70"/>
    <w:rsid w:val="10EC315B"/>
    <w:rsid w:val="11D94FBF"/>
    <w:rsid w:val="11DF7AA5"/>
    <w:rsid w:val="121E4775"/>
    <w:rsid w:val="12DE5A76"/>
    <w:rsid w:val="13C60661"/>
    <w:rsid w:val="143049A4"/>
    <w:rsid w:val="15483D18"/>
    <w:rsid w:val="15BD3FB0"/>
    <w:rsid w:val="15C0048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5795502"/>
    <w:rsid w:val="274970C1"/>
    <w:rsid w:val="28382B82"/>
    <w:rsid w:val="288C42DB"/>
    <w:rsid w:val="2B147896"/>
    <w:rsid w:val="2B25139B"/>
    <w:rsid w:val="2CF66F3B"/>
    <w:rsid w:val="2E3B1D53"/>
    <w:rsid w:val="2FE87747"/>
    <w:rsid w:val="3088385B"/>
    <w:rsid w:val="30B9326C"/>
    <w:rsid w:val="3184492D"/>
    <w:rsid w:val="3229411A"/>
    <w:rsid w:val="335509C7"/>
    <w:rsid w:val="3384464E"/>
    <w:rsid w:val="352A0F17"/>
    <w:rsid w:val="35323F4D"/>
    <w:rsid w:val="362F5208"/>
    <w:rsid w:val="364D7507"/>
    <w:rsid w:val="36853699"/>
    <w:rsid w:val="373077D8"/>
    <w:rsid w:val="37C379D9"/>
    <w:rsid w:val="383E476D"/>
    <w:rsid w:val="3902565F"/>
    <w:rsid w:val="39504F05"/>
    <w:rsid w:val="39694146"/>
    <w:rsid w:val="3B8E0BEC"/>
    <w:rsid w:val="3C1259C9"/>
    <w:rsid w:val="3D162FD9"/>
    <w:rsid w:val="3D606B02"/>
    <w:rsid w:val="3DB053D5"/>
    <w:rsid w:val="3DBB4886"/>
    <w:rsid w:val="3DEA26E4"/>
    <w:rsid w:val="3E823CC7"/>
    <w:rsid w:val="3E873D85"/>
    <w:rsid w:val="3EE01EF4"/>
    <w:rsid w:val="3FA54A93"/>
    <w:rsid w:val="404D4025"/>
    <w:rsid w:val="40580367"/>
    <w:rsid w:val="41BA54AD"/>
    <w:rsid w:val="41DA5F81"/>
    <w:rsid w:val="42363025"/>
    <w:rsid w:val="426274DE"/>
    <w:rsid w:val="428271C8"/>
    <w:rsid w:val="439315CA"/>
    <w:rsid w:val="43EF7CB6"/>
    <w:rsid w:val="44141E00"/>
    <w:rsid w:val="45301858"/>
    <w:rsid w:val="459C49A4"/>
    <w:rsid w:val="45BC5666"/>
    <w:rsid w:val="45DB5816"/>
    <w:rsid w:val="467F19D6"/>
    <w:rsid w:val="47237B65"/>
    <w:rsid w:val="475B0959"/>
    <w:rsid w:val="47AC6349"/>
    <w:rsid w:val="47B41DDF"/>
    <w:rsid w:val="48316427"/>
    <w:rsid w:val="483A53BF"/>
    <w:rsid w:val="492B5C25"/>
    <w:rsid w:val="4A257AB1"/>
    <w:rsid w:val="4A5C7F26"/>
    <w:rsid w:val="4AFF07C1"/>
    <w:rsid w:val="4BFE14BA"/>
    <w:rsid w:val="4C56272E"/>
    <w:rsid w:val="4C932469"/>
    <w:rsid w:val="4D656886"/>
    <w:rsid w:val="4DFD218D"/>
    <w:rsid w:val="512F199A"/>
    <w:rsid w:val="521774C0"/>
    <w:rsid w:val="523F7E77"/>
    <w:rsid w:val="54087C43"/>
    <w:rsid w:val="54151AB3"/>
    <w:rsid w:val="547C2982"/>
    <w:rsid w:val="553D7376"/>
    <w:rsid w:val="570730E6"/>
    <w:rsid w:val="57321E73"/>
    <w:rsid w:val="573D02BD"/>
    <w:rsid w:val="57D22477"/>
    <w:rsid w:val="58270281"/>
    <w:rsid w:val="58836238"/>
    <w:rsid w:val="589C20F9"/>
    <w:rsid w:val="58C3256A"/>
    <w:rsid w:val="58C80F7B"/>
    <w:rsid w:val="59964EC4"/>
    <w:rsid w:val="5A9D143D"/>
    <w:rsid w:val="5AAB12CD"/>
    <w:rsid w:val="5C5736B9"/>
    <w:rsid w:val="5C9E6E6F"/>
    <w:rsid w:val="5D960F43"/>
    <w:rsid w:val="5E370097"/>
    <w:rsid w:val="5EF73BE2"/>
    <w:rsid w:val="608A1152"/>
    <w:rsid w:val="609D521D"/>
    <w:rsid w:val="61382481"/>
    <w:rsid w:val="61BF196A"/>
    <w:rsid w:val="61F11689"/>
    <w:rsid w:val="62600656"/>
    <w:rsid w:val="62A44963"/>
    <w:rsid w:val="62EA2C49"/>
    <w:rsid w:val="631E05FA"/>
    <w:rsid w:val="63436BA2"/>
    <w:rsid w:val="65490021"/>
    <w:rsid w:val="65900A51"/>
    <w:rsid w:val="65FC37D4"/>
    <w:rsid w:val="665935D9"/>
    <w:rsid w:val="677A24B6"/>
    <w:rsid w:val="67A772C2"/>
    <w:rsid w:val="67DB46A3"/>
    <w:rsid w:val="68503E83"/>
    <w:rsid w:val="68781637"/>
    <w:rsid w:val="687A78F9"/>
    <w:rsid w:val="69124FDF"/>
    <w:rsid w:val="692A5FA1"/>
    <w:rsid w:val="693448CF"/>
    <w:rsid w:val="6A043746"/>
    <w:rsid w:val="6A875334"/>
    <w:rsid w:val="6A884503"/>
    <w:rsid w:val="6AC5360B"/>
    <w:rsid w:val="6ADF0274"/>
    <w:rsid w:val="6AFC6911"/>
    <w:rsid w:val="6B1B61E1"/>
    <w:rsid w:val="6B4704BC"/>
    <w:rsid w:val="6BC85164"/>
    <w:rsid w:val="6BFB6BCB"/>
    <w:rsid w:val="6C2434AD"/>
    <w:rsid w:val="6E0B664E"/>
    <w:rsid w:val="6F46035D"/>
    <w:rsid w:val="6F472C16"/>
    <w:rsid w:val="705961BD"/>
    <w:rsid w:val="718805D0"/>
    <w:rsid w:val="719529E0"/>
    <w:rsid w:val="72CC0D0F"/>
    <w:rsid w:val="73C72D5A"/>
    <w:rsid w:val="748701B2"/>
    <w:rsid w:val="74ED7A64"/>
    <w:rsid w:val="74F22980"/>
    <w:rsid w:val="754822C9"/>
    <w:rsid w:val="760D385C"/>
    <w:rsid w:val="773D4564"/>
    <w:rsid w:val="77C57565"/>
    <w:rsid w:val="78022096"/>
    <w:rsid w:val="7811649A"/>
    <w:rsid w:val="78197969"/>
    <w:rsid w:val="78B6314A"/>
    <w:rsid w:val="79E41632"/>
    <w:rsid w:val="7A620D4B"/>
    <w:rsid w:val="7AA11E6E"/>
    <w:rsid w:val="7B56706E"/>
    <w:rsid w:val="7B733601"/>
    <w:rsid w:val="7C9E683A"/>
    <w:rsid w:val="7D2726CD"/>
    <w:rsid w:val="7D347EF8"/>
    <w:rsid w:val="7EBE117D"/>
    <w:rsid w:val="7EC22AF7"/>
    <w:rsid w:val="7FED2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3">
    <w:name w:val="heading 1"/>
    <w:basedOn w:val="1"/>
    <w:next w:val="1"/>
    <w:qFormat/>
    <w:uiPriority w:val="0"/>
    <w:pPr>
      <w:keepNext/>
      <w:keepLines/>
      <w:adjustRightInd w:val="0"/>
      <w:snapToGrid w:val="0"/>
      <w:ind w:firstLine="0" w:firstLineChars="0"/>
      <w:jc w:val="left"/>
      <w:outlineLvl w:val="0"/>
    </w:pPr>
    <w:rPr>
      <w:rFonts w:ascii="黑体" w:hAnsi="黑体" w:eastAsia="黑体"/>
      <w:b/>
      <w:bCs/>
      <w:kern w:val="44"/>
      <w:szCs w:val="32"/>
    </w:rPr>
  </w:style>
  <w:style w:type="paragraph" w:styleId="4">
    <w:name w:val="heading 2"/>
    <w:basedOn w:val="1"/>
    <w:next w:val="1"/>
    <w:link w:val="16"/>
    <w:unhideWhenUsed/>
    <w:qFormat/>
    <w:uiPriority w:val="0"/>
    <w:pPr>
      <w:keepNext/>
      <w:keepLines/>
      <w:adjustRightInd w:val="0"/>
      <w:snapToGrid w:val="0"/>
      <w:ind w:firstLine="0" w:firstLineChars="0"/>
      <w:outlineLvl w:val="1"/>
    </w:pPr>
    <w:rPr>
      <w:rFonts w:ascii="楷体" w:hAnsi="楷体" w:eastAsia="楷体" w:cs="Times New Roman"/>
      <w:b/>
      <w:bCs/>
      <w:szCs w:val="32"/>
    </w:rPr>
  </w:style>
  <w:style w:type="paragraph" w:styleId="5">
    <w:name w:val="heading 3"/>
    <w:basedOn w:val="1"/>
    <w:next w:val="1"/>
    <w:unhideWhenUsed/>
    <w:qFormat/>
    <w:uiPriority w:val="0"/>
    <w:pPr>
      <w:keepNext/>
      <w:keepLines/>
      <w:adjustRightInd w:val="0"/>
      <w:snapToGrid w:val="0"/>
      <w:ind w:firstLine="560"/>
      <w:outlineLvl w:val="2"/>
    </w:pPr>
    <w:rPr>
      <w:rFonts w:ascii="仿宋" w:hAnsi="仿宋" w:cs="Times New Roman"/>
      <w:b/>
      <w:bCs/>
      <w:szCs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7">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0"/>
    <w:pPr>
      <w:adjustRightInd w:val="0"/>
      <w:snapToGrid w:val="0"/>
      <w:ind w:firstLine="0" w:firstLineChars="0"/>
    </w:pPr>
  </w:style>
  <w:style w:type="paragraph" w:styleId="10">
    <w:name w:val="toc 2"/>
    <w:basedOn w:val="1"/>
    <w:next w:val="1"/>
    <w:qFormat/>
    <w:uiPriority w:val="0"/>
    <w:pPr>
      <w:ind w:left="420" w:leftChars="200" w:firstLine="0" w:firstLineChars="0"/>
    </w:p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表格"/>
    <w:basedOn w:val="1"/>
    <w:next w:val="1"/>
    <w:qFormat/>
    <w:uiPriority w:val="0"/>
    <w:pPr>
      <w:adjustRightInd w:val="0"/>
      <w:snapToGrid w:val="0"/>
      <w:spacing w:line="240" w:lineRule="auto"/>
      <w:ind w:firstLine="0" w:firstLineChars="0"/>
      <w:jc w:val="center"/>
    </w:pPr>
    <w:rPr>
      <w:sz w:val="24"/>
    </w:rPr>
  </w:style>
  <w:style w:type="paragraph" w:customStyle="1" w:styleId="15">
    <w:name w:val="表头"/>
    <w:basedOn w:val="1"/>
    <w:next w:val="1"/>
    <w:qFormat/>
    <w:uiPriority w:val="0"/>
    <w:pPr>
      <w:ind w:firstLine="0" w:firstLineChars="0"/>
      <w:jc w:val="center"/>
    </w:pPr>
  </w:style>
  <w:style w:type="character" w:customStyle="1" w:styleId="16">
    <w:name w:val="标题 2 字符"/>
    <w:link w:val="4"/>
    <w:qFormat/>
    <w:uiPriority w:val="9"/>
    <w:rPr>
      <w:rFonts w:ascii="楷体" w:hAnsi="楷体" w:eastAsia="楷体" w:cs="Times New Roman"/>
      <w:b/>
      <w:bCs/>
      <w:sz w:val="32"/>
      <w:szCs w:val="32"/>
    </w:rPr>
  </w:style>
  <w:style w:type="paragraph" w:customStyle="1" w:styleId="17">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8">
    <w:name w:val="昭元正文"/>
    <w:basedOn w:val="1"/>
    <w:qFormat/>
    <w:uiPriority w:val="0"/>
    <w:pPr>
      <w:adjustRightInd w:val="0"/>
      <w:snapToGrid w:val="0"/>
      <w:ind w:firstLine="964"/>
      <w:jc w:val="left"/>
    </w:pPr>
    <w:rPr>
      <w:rFonts w:hint="eastAsia" w:ascii="宋体" w:hAnsi="宋体" w:cs="Times New Roman"/>
      <w:szCs w:val="32"/>
    </w:rPr>
  </w:style>
  <w:style w:type="paragraph" w:customStyle="1" w:styleId="19">
    <w:name w:val="模板由"/>
    <w:basedOn w:val="1"/>
    <w:qFormat/>
    <w:uiPriority w:val="0"/>
    <w:pPr>
      <w:adjustRightInd w:val="0"/>
      <w:snapToGrid w:val="0"/>
      <w:ind w:firstLine="964"/>
      <w:jc w:val="left"/>
    </w:pPr>
    <w:rPr>
      <w:rFonts w:hint="eastAsia" w:ascii="宋体" w:hAnsi="宋体" w:cs="Times New Roman"/>
      <w:szCs w:val="32"/>
    </w:rPr>
  </w:style>
  <w:style w:type="paragraph" w:customStyle="1" w:styleId="20">
    <w:name w:val="昭元绩效"/>
    <w:basedOn w:val="1"/>
    <w:qFormat/>
    <w:uiPriority w:val="0"/>
    <w:pPr>
      <w:adjustRightInd w:val="0"/>
      <w:snapToGrid w:val="0"/>
      <w:ind w:firstLine="964"/>
      <w:jc w:val="left"/>
    </w:pPr>
    <w:rPr>
      <w:rFonts w:hint="eastAsia" w:ascii="宋体" w:hAnsi="宋体" w:cs="Times New Roman"/>
      <w:szCs w:val="32"/>
    </w:rPr>
  </w:style>
  <w:style w:type="paragraph" w:customStyle="1" w:styleId="21">
    <w:name w:val="提供"/>
    <w:basedOn w:val="1"/>
    <w:qFormat/>
    <w:uiPriority w:val="0"/>
    <w:pPr>
      <w:adjustRightInd w:val="0"/>
      <w:snapToGrid w:val="0"/>
      <w:ind w:firstLine="964"/>
      <w:jc w:val="left"/>
    </w:pPr>
    <w:rPr>
      <w:rFonts w:hint="eastAsia" w:ascii="宋体" w:hAnsi="宋体" w:cs="Times New Roman"/>
      <w:szCs w:val="32"/>
    </w:rPr>
  </w:style>
  <w:style w:type="paragraph" w:customStyle="1" w:styleId="22">
    <w:name w:val="版权所有"/>
    <w:basedOn w:val="1"/>
    <w:qFormat/>
    <w:uiPriority w:val="0"/>
    <w:pPr>
      <w:adjustRightInd w:val="0"/>
      <w:snapToGrid w:val="0"/>
      <w:ind w:firstLine="964"/>
      <w:jc w:val="left"/>
    </w:pPr>
    <w:rPr>
      <w:rFonts w:hint="eastAsia" w:ascii="宋体" w:hAnsi="宋体" w:cs="Times New Roman"/>
      <w:szCs w:val="32"/>
    </w:rPr>
  </w:style>
  <w:style w:type="paragraph" w:customStyle="1" w:styleId="23">
    <w:name w:val="15515993457"/>
    <w:basedOn w:val="1"/>
    <w:qFormat/>
    <w:uiPriority w:val="0"/>
    <w:pPr>
      <w:adjustRightInd w:val="0"/>
      <w:snapToGrid w:val="0"/>
      <w:ind w:firstLine="964"/>
      <w:jc w:val="left"/>
    </w:pPr>
    <w:rPr>
      <w:rFonts w:hint="eastAsia" w:ascii="宋体" w:hAnsi="宋体" w:cs="Times New Roman"/>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17</Pages>
  <Words>6447</Words>
  <Characters>6842</Characters>
  <Lines>59</Lines>
  <Paragraphs>16</Paragraphs>
  <TotalTime>3</TotalTime>
  <ScaleCrop>false</ScaleCrop>
  <LinksUpToDate>false</LinksUpToDate>
  <CharactersWithSpaces>6990</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若如初见</cp:lastModifiedBy>
  <cp:lastPrinted>2022-08-29T08:21:10Z</cp:lastPrinted>
  <dcterms:modified xsi:type="dcterms:W3CDTF">2022-08-29T08:23:03Z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A4CC237F23624894911C93E1E76C05A9</vt:lpwstr>
  </property>
</Properties>
</file>