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3"/>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 xml:space="preserve">        </w:t>
      </w:r>
      <w:r>
        <w:rPr>
          <w:rFonts w:hint="eastAsia" w:ascii="华文仿宋" w:hAnsi="华文仿宋" w:eastAsia="华文仿宋" w:cs="华文仿宋"/>
          <w:sz w:val="32"/>
          <w:szCs w:val="32"/>
          <w:highlight w:val="none"/>
          <w:u w:val="single"/>
          <w:lang w:eastAsia="zh-CN"/>
        </w:rPr>
        <w:t>太康县财政局</w:t>
      </w:r>
      <w:r>
        <w:rPr>
          <w:rFonts w:hint="eastAsia" w:ascii="华文仿宋" w:hAnsi="华文仿宋" w:eastAsia="华文仿宋" w:cs="华文仿宋"/>
          <w:sz w:val="32"/>
          <w:szCs w:val="32"/>
          <w:highlight w:val="none"/>
          <w:u w:val="single"/>
          <w:lang w:val="en-US" w:eastAsia="zh-CN"/>
        </w:rPr>
        <w:t xml:space="preserve">     </w:t>
      </w:r>
      <w:r>
        <w:rPr>
          <w:rFonts w:hint="eastAsia" w:ascii="华文仿宋" w:hAnsi="华文仿宋" w:eastAsia="华文仿宋" w:cs="华文仿宋"/>
          <w:sz w:val="32"/>
          <w:szCs w:val="32"/>
          <w:highlight w:val="none"/>
          <w:u w:val="single"/>
        </w:rPr>
        <w:t>（公章）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年     月     日</w:t>
      </w:r>
    </w:p>
    <w:p>
      <w:pPr>
        <w:pStyle w:val="19"/>
        <w:bidi w:val="0"/>
        <w:rPr>
          <w:rFonts w:hint="eastAsia"/>
        </w:rPr>
      </w:pPr>
    </w:p>
    <w:p>
      <w:pPr>
        <w:pStyle w:val="19"/>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19"/>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rPr>
          <w:rFonts w:hint="eastAsia" w:ascii="仿宋" w:hAnsi="仿宋" w:eastAsia="仿宋" w:cs="仿宋"/>
          <w:b/>
          <w:bCs/>
          <w:sz w:val="32"/>
          <w:szCs w:val="32"/>
        </w:rPr>
      </w:pPr>
      <w:bookmarkStart w:id="1" w:name="_Toc27722"/>
      <w:r>
        <w:rPr>
          <w:rFonts w:hint="eastAsia" w:ascii="仿宋" w:hAnsi="仿宋" w:eastAsia="仿宋" w:cs="仿宋"/>
          <w:b/>
          <w:bCs/>
          <w:sz w:val="32"/>
          <w:szCs w:val="32"/>
        </w:rPr>
        <w:t>目  录</w:t>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"1-2"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_Toc3240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w:t>
      </w:r>
      <w:r>
        <w:rPr>
          <w:rFonts w:hint="eastAsia" w:ascii="仿宋" w:hAnsi="仿宋" w:eastAsia="仿宋" w:cs="仿宋"/>
          <w:sz w:val="32"/>
          <w:szCs w:val="32"/>
        </w:rPr>
        <w:t>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_Toc3240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_Toc14104 </w:instrText>
      </w:r>
      <w:r>
        <w:rPr>
          <w:rFonts w:hint="eastAsia" w:ascii="仿宋" w:hAnsi="仿宋" w:eastAsia="仿宋" w:cs="仿宋"/>
          <w:sz w:val="32"/>
          <w:szCs w:val="32"/>
        </w:rPr>
        <w:fldChar w:fldCharType="separate"/>
      </w:r>
      <w:r>
        <w:rPr>
          <w:rFonts w:hint="eastAsia" w:ascii="仿宋" w:hAnsi="仿宋" w:eastAsia="仿宋" w:cs="仿宋"/>
          <w:sz w:val="32"/>
          <w:szCs w:val="32"/>
        </w:rPr>
        <w:t>（一）单位简介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_Toc14104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_Toc27471 </w:instrText>
      </w:r>
      <w:r>
        <w:rPr>
          <w:rFonts w:hint="eastAsia" w:ascii="仿宋" w:hAnsi="仿宋" w:eastAsia="仿宋" w:cs="仿宋"/>
          <w:sz w:val="32"/>
          <w:szCs w:val="32"/>
        </w:rPr>
        <w:fldChar w:fldCharType="separate"/>
      </w:r>
      <w:r>
        <w:rPr>
          <w:rFonts w:hint="eastAsia" w:ascii="仿宋" w:hAnsi="仿宋" w:eastAsia="仿宋" w:cs="仿宋"/>
          <w:sz w:val="32"/>
          <w:szCs w:val="32"/>
        </w:rPr>
        <w:t>（二）年度部门总目标及主要任务</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_Toc27471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_Toc31554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_Toc31554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_Toc12307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（一）评价方法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_Toc12307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_Toc25686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（二）工作程序</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_Toc25686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_Toc3418 </w:instrText>
      </w:r>
      <w:r>
        <w:rPr>
          <w:rFonts w:hint="eastAsia" w:ascii="仿宋" w:hAnsi="仿宋" w:eastAsia="仿宋" w:cs="仿宋"/>
          <w:sz w:val="32"/>
          <w:szCs w:val="32"/>
        </w:rPr>
        <w:fldChar w:fldCharType="separate"/>
      </w:r>
      <w:r>
        <w:rPr>
          <w:rFonts w:hint="eastAsia" w:ascii="仿宋" w:hAnsi="仿宋" w:eastAsia="仿宋" w:cs="仿宋"/>
          <w:sz w:val="32"/>
          <w:szCs w:val="32"/>
        </w:rPr>
        <w:t>三、综合评价结论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_Toc3418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_Toc18202 </w:instrText>
      </w:r>
      <w:r>
        <w:rPr>
          <w:rFonts w:hint="eastAsia" w:ascii="仿宋" w:hAnsi="仿宋" w:eastAsia="仿宋" w:cs="仿宋"/>
          <w:sz w:val="32"/>
          <w:szCs w:val="32"/>
        </w:rPr>
        <w:fldChar w:fldCharType="separate"/>
      </w:r>
      <w:r>
        <w:rPr>
          <w:rFonts w:hint="eastAsia" w:ascii="仿宋" w:hAnsi="仿宋" w:eastAsia="仿宋" w:cs="仿宋"/>
          <w:sz w:val="32"/>
          <w:szCs w:val="32"/>
        </w:rPr>
        <w:t>四、绩效目标实现情况分析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_Toc18202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_Toc10468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部门资金情况分析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_Toc10468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_Toc3607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_Toc3607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_Toc22457 </w:instrText>
      </w:r>
      <w:r>
        <w:rPr>
          <w:rFonts w:hint="eastAsia" w:ascii="仿宋" w:hAnsi="仿宋" w:eastAsia="仿宋" w:cs="仿宋"/>
          <w:sz w:val="32"/>
          <w:szCs w:val="32"/>
        </w:rPr>
        <w:fldChar w:fldCharType="separate"/>
      </w:r>
      <w:r>
        <w:rPr>
          <w:rFonts w:hint="eastAsia" w:ascii="仿宋" w:hAnsi="仿宋" w:eastAsia="仿宋" w:cs="仿宋"/>
          <w:sz w:val="32"/>
          <w:szCs w:val="32"/>
        </w:rPr>
        <w:t>五、发现的主要问题和改进措施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_Toc22457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_Toc1104 </w:instrText>
      </w:r>
      <w:r>
        <w:rPr>
          <w:rFonts w:hint="eastAsia" w:ascii="仿宋" w:hAnsi="仿宋" w:eastAsia="仿宋" w:cs="仿宋"/>
          <w:sz w:val="32"/>
          <w:szCs w:val="32"/>
        </w:rPr>
        <w:fldChar w:fldCharType="separate"/>
      </w:r>
      <w:r>
        <w:rPr>
          <w:rFonts w:hint="eastAsia" w:ascii="仿宋" w:hAnsi="仿宋" w:eastAsia="仿宋" w:cs="仿宋"/>
          <w:sz w:val="32"/>
          <w:szCs w:val="32"/>
        </w:rPr>
        <w:t>（一）发现的主要问题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_Toc1104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_Toc17027 </w:instrText>
      </w:r>
      <w:r>
        <w:rPr>
          <w:rFonts w:hint="eastAsia" w:ascii="仿宋" w:hAnsi="仿宋" w:eastAsia="仿宋" w:cs="仿宋"/>
          <w:sz w:val="32"/>
          <w:szCs w:val="32"/>
        </w:rPr>
        <w:fldChar w:fldCharType="separate"/>
      </w:r>
      <w:r>
        <w:rPr>
          <w:rFonts w:hint="eastAsia" w:ascii="仿宋" w:hAnsi="仿宋" w:eastAsia="仿宋" w:cs="仿宋"/>
          <w:sz w:val="32"/>
          <w:szCs w:val="32"/>
        </w:rPr>
        <w:t>（二）</w:t>
      </w:r>
      <w:r>
        <w:rPr>
          <w:rFonts w:hint="eastAsia" w:ascii="仿宋" w:hAnsi="仿宋" w:eastAsia="仿宋" w:cs="仿宋"/>
          <w:sz w:val="32"/>
          <w:szCs w:val="32"/>
          <w:lang w:val="zh-CN"/>
        </w:rPr>
        <w:t>下一步改进措施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_Toc17027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_Toc23218 </w:instrText>
      </w:r>
      <w:r>
        <w:rPr>
          <w:rFonts w:hint="eastAsia" w:ascii="仿宋" w:hAnsi="仿宋" w:eastAsia="仿宋" w:cs="仿宋"/>
          <w:sz w:val="32"/>
          <w:szCs w:val="32"/>
        </w:rPr>
        <w:fldChar w:fldCharType="separate"/>
      </w:r>
      <w:r>
        <w:rPr>
          <w:rFonts w:hint="eastAsia" w:ascii="仿宋" w:hAnsi="仿宋" w:eastAsia="仿宋" w:cs="仿宋"/>
          <w:sz w:val="32"/>
          <w:szCs w:val="32"/>
        </w:rPr>
        <w:t>（三）绩效自评结果应用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_Toc23218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_Toc32190 </w:instrText>
      </w:r>
      <w:r>
        <w:rPr>
          <w:rFonts w:hint="eastAsia" w:ascii="仿宋" w:hAnsi="仿宋" w:eastAsia="仿宋" w:cs="仿宋"/>
          <w:sz w:val="32"/>
          <w:szCs w:val="32"/>
        </w:rPr>
        <w:fldChar w:fldCharType="separate"/>
      </w:r>
      <w:r>
        <w:rPr>
          <w:rFonts w:hint="eastAsia" w:ascii="仿宋" w:hAnsi="仿宋" w:eastAsia="仿宋" w:cs="仿宋"/>
          <w:sz w:val="32"/>
          <w:szCs w:val="32"/>
        </w:rPr>
        <w:t>六、有关建议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_Toc32190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_Toc26117 </w:instrText>
      </w:r>
      <w:r>
        <w:rPr>
          <w:rFonts w:hint="eastAsia" w:ascii="仿宋" w:hAnsi="仿宋" w:eastAsia="仿宋" w:cs="仿宋"/>
          <w:sz w:val="32"/>
          <w:szCs w:val="32"/>
        </w:rPr>
        <w:fldChar w:fldCharType="separate"/>
      </w:r>
      <w:r>
        <w:rPr>
          <w:rFonts w:hint="eastAsia" w:ascii="仿宋" w:hAnsi="仿宋" w:eastAsia="仿宋" w:cs="仿宋"/>
          <w:sz w:val="32"/>
          <w:szCs w:val="32"/>
        </w:rPr>
        <w:t>七、其他需要说明的问题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_Toc26117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_Toc15457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（一）绩效自评工作经验</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_Toc15457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3"/>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_Toc16742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_Toc16742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pageBreakBefore w:val="0"/>
        <w:widowControl w:val="0"/>
        <w:tabs>
          <w:tab w:val="right" w:leader="dot" w:pos="8306"/>
        </w:tabs>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_Toc14584 </w:instrText>
      </w:r>
      <w:r>
        <w:rPr>
          <w:rFonts w:hint="eastAsia" w:ascii="仿宋" w:hAnsi="仿宋" w:eastAsia="仿宋" w:cs="仿宋"/>
          <w:sz w:val="32"/>
          <w:szCs w:val="32"/>
        </w:rPr>
        <w:fldChar w:fldCharType="separate"/>
      </w:r>
      <w:r>
        <w:rPr>
          <w:rFonts w:hint="eastAsia" w:ascii="仿宋" w:hAnsi="仿宋" w:eastAsia="仿宋" w:cs="仿宋"/>
          <w:sz w:val="32"/>
          <w:szCs w:val="32"/>
        </w:rPr>
        <w:t>附件1：</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_Toc14584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end"/>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b/>
          <w:bCs/>
          <w:sz w:val="32"/>
          <w:szCs w:val="32"/>
          <w:highlight w:val="none"/>
          <w:lang w:eastAsia="zh-CN"/>
        </w:rPr>
      </w:pPr>
      <w:bookmarkStart w:id="2" w:name="_Toc6550"/>
      <w:bookmarkStart w:id="3" w:name="_Toc27842"/>
      <w:bookmarkStart w:id="4" w:name="_Toc23630"/>
      <w:bookmarkStart w:id="5" w:name="_Toc28057"/>
      <w:bookmarkStart w:id="6" w:name="_Toc12961"/>
      <w:r>
        <w:rPr>
          <w:rFonts w:hint="eastAsia" w:ascii="仿宋" w:hAnsi="仿宋" w:eastAsia="仿宋" w:cs="仿宋"/>
          <w:b/>
          <w:bCs/>
          <w:sz w:val="32"/>
          <w:szCs w:val="32"/>
          <w:highlight w:val="none"/>
          <w:lang w:eastAsia="zh-CN"/>
        </w:rPr>
        <w:t>太康县财政局</w:t>
      </w:r>
    </w:p>
    <w:p>
      <w:pPr>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eastAsia" w:ascii="仿宋" w:hAnsi="仿宋" w:eastAsia="仿宋" w:cs="仿宋"/>
          <w:sz w:val="32"/>
          <w:szCs w:val="32"/>
        </w:rPr>
      </w:pPr>
      <w:r>
        <w:rPr>
          <w:rFonts w:hint="eastAsia" w:ascii="仿宋" w:hAnsi="仿宋" w:eastAsia="仿宋" w:cs="仿宋"/>
          <w:b/>
          <w:bCs/>
          <w:sz w:val="32"/>
          <w:szCs w:val="32"/>
          <w:lang w:eastAsia="zh-CN"/>
        </w:rPr>
        <w:t>2021</w:t>
      </w:r>
      <w:r>
        <w:rPr>
          <w:rFonts w:hint="eastAsia" w:ascii="仿宋" w:hAnsi="仿宋" w:eastAsia="仿宋" w:cs="仿宋"/>
          <w:b/>
          <w:bCs/>
          <w:sz w:val="32"/>
          <w:szCs w:val="32"/>
        </w:rPr>
        <w:t>年度部门整体自评报告</w:t>
      </w:r>
      <w:bookmarkEnd w:id="2"/>
      <w:bookmarkEnd w:id="3"/>
      <w:bookmarkEnd w:id="4"/>
      <w:bookmarkEnd w:id="5"/>
      <w:bookmarkEnd w:id="6"/>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为深入贯彻落实</w:t>
      </w:r>
      <w:r>
        <w:rPr>
          <w:rFonts w:hint="eastAsia" w:ascii="仿宋" w:hAnsi="仿宋" w:eastAsia="仿宋" w:cs="仿宋"/>
          <w:sz w:val="32"/>
          <w:szCs w:val="32"/>
          <w:highlight w:val="none"/>
          <w:lang w:eastAsia="zh-CN"/>
        </w:rPr>
        <w:t>《中共河南省委 河南省人民政府关于全面实施预算绩效管理的实施意见》（豫发〔2019〕10号）</w:t>
      </w:r>
      <w:r>
        <w:rPr>
          <w:rFonts w:hint="eastAsia" w:ascii="仿宋" w:hAnsi="仿宋" w:eastAsia="仿宋" w:cs="仿宋"/>
          <w:sz w:val="32"/>
          <w:szCs w:val="32"/>
        </w:rPr>
        <w:t>有关要求，健全绩效</w:t>
      </w:r>
      <w:r>
        <w:rPr>
          <w:rFonts w:hint="eastAsia" w:ascii="仿宋" w:hAnsi="仿宋" w:eastAsia="仿宋" w:cs="仿宋"/>
          <w:sz w:val="32"/>
          <w:szCs w:val="32"/>
          <w:lang w:eastAsia="zh-CN"/>
        </w:rPr>
        <w:t>管理</w:t>
      </w:r>
      <w:r>
        <w:rPr>
          <w:rFonts w:hint="eastAsia" w:ascii="仿宋" w:hAnsi="仿宋" w:eastAsia="仿宋" w:cs="仿宋"/>
          <w:sz w:val="32"/>
          <w:szCs w:val="32"/>
        </w:rPr>
        <w:t>常态化机制，强化部门预算绩效管理主体责任，提高财政资金使用效益。按照</w:t>
      </w:r>
      <w:r>
        <w:rPr>
          <w:rFonts w:hint="eastAsia" w:ascii="仿宋" w:hAnsi="仿宋" w:eastAsia="仿宋" w:cs="仿宋"/>
          <w:sz w:val="32"/>
          <w:szCs w:val="32"/>
          <w:highlight w:val="none"/>
          <w:lang w:val="en-US" w:eastAsia="zh-CN"/>
        </w:rPr>
        <w:t>《关于开展2021年度部门整体支出绩效自评工作的通知》</w:t>
      </w:r>
      <w:r>
        <w:rPr>
          <w:rFonts w:hint="eastAsia" w:ascii="仿宋" w:hAnsi="仿宋" w:eastAsia="仿宋" w:cs="仿宋"/>
          <w:sz w:val="32"/>
          <w:szCs w:val="32"/>
          <w:highlight w:val="none"/>
        </w:rPr>
        <w:t>文件</w:t>
      </w:r>
      <w:r>
        <w:rPr>
          <w:rFonts w:hint="eastAsia" w:ascii="仿宋" w:hAnsi="仿宋" w:eastAsia="仿宋" w:cs="仿宋"/>
          <w:sz w:val="32"/>
          <w:szCs w:val="32"/>
        </w:rPr>
        <w:t>的相关要求，</w:t>
      </w:r>
      <w:r>
        <w:rPr>
          <w:rFonts w:hint="eastAsia" w:ascii="仿宋" w:hAnsi="仿宋" w:eastAsia="仿宋" w:cs="仿宋"/>
          <w:sz w:val="32"/>
          <w:szCs w:val="32"/>
          <w:lang w:eastAsia="zh-CN"/>
        </w:rPr>
        <w:t>我</w:t>
      </w:r>
      <w:r>
        <w:rPr>
          <w:rFonts w:hint="eastAsia" w:ascii="仿宋" w:hAnsi="仿宋" w:eastAsia="仿宋" w:cs="仿宋"/>
          <w:sz w:val="32"/>
          <w:szCs w:val="32"/>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pPr>
      <w:bookmarkStart w:id="7" w:name="_Toc3240"/>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rPr>
        <w:t>基本情况</w:t>
      </w:r>
      <w:bookmarkEnd w:id="7"/>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8" w:name="_Toc14104"/>
      <w:r>
        <w:rPr>
          <w:rFonts w:hint="eastAsia" w:ascii="仿宋" w:hAnsi="仿宋" w:eastAsia="仿宋" w:cs="仿宋"/>
          <w:sz w:val="32"/>
          <w:szCs w:val="32"/>
        </w:rPr>
        <w:t>（一）单位简介</w:t>
      </w:r>
      <w:bookmarkEnd w:id="8"/>
    </w:p>
    <w:p>
      <w:pPr>
        <w:pStyle w:val="8"/>
        <w:pageBreakBefore w:val="0"/>
        <w:widowControl w:val="0"/>
        <w:kinsoku/>
        <w:wordWrap/>
        <w:overflowPunct/>
        <w:topLinePunct w:val="0"/>
        <w:autoSpaceDE/>
        <w:autoSpaceDN/>
        <w:bidi w:val="0"/>
        <w:spacing w:line="360" w:lineRule="auto"/>
        <w:ind w:firstLine="640" w:firstLineChars="200"/>
        <w:textAlignment w:val="auto"/>
        <w:rPr>
          <w:rFonts w:hint="eastAsia" w:ascii="仿宋" w:hAnsi="仿宋" w:eastAsia="仿宋" w:cs="仿宋"/>
          <w:b w:val="0"/>
          <w:bCs w:val="0"/>
          <w:sz w:val="32"/>
          <w:szCs w:val="32"/>
          <w:highlight w:val="none"/>
          <w:lang w:eastAsia="zh-CN"/>
        </w:rPr>
      </w:pPr>
      <w:bookmarkStart w:id="9" w:name="_Toc27471"/>
      <w:r>
        <w:rPr>
          <w:rFonts w:hint="eastAsia" w:ascii="仿宋" w:hAnsi="仿宋" w:eastAsia="仿宋" w:cs="仿宋"/>
          <w:b w:val="0"/>
          <w:bCs w:val="0"/>
          <w:sz w:val="32"/>
          <w:szCs w:val="32"/>
          <w:highlight w:val="none"/>
          <w:lang w:eastAsia="zh-CN"/>
        </w:rPr>
        <w:t>太康县财政局为县政府组成部门，单位机关共设行政股室19个，单位二级机构 7个。太康县财政局共有编制 271人，其中：行政编制 27人，事业编制 244人。在职人员232人，离休人员1人，退休人员83  人，遗属人员  19人。</w:t>
      </w:r>
    </w:p>
    <w:p>
      <w:pPr>
        <w:pStyle w:val="8"/>
        <w:pageBreakBefore w:val="0"/>
        <w:widowControl w:val="0"/>
        <w:kinsoku/>
        <w:wordWrap/>
        <w:overflowPunct/>
        <w:topLinePunct w:val="0"/>
        <w:autoSpaceDE/>
        <w:autoSpaceDN/>
        <w:bidi w:val="0"/>
        <w:spacing w:line="360" w:lineRule="auto"/>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eastAsia="zh-CN"/>
        </w:rPr>
        <w:t>太康县财政局下属二级机构：财政国库集中支付中心、乡财县管服务中心、财政信息中心、政府采购中心、财政预算评审中心、财政信用资金开发中心、拍卖行。</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依据《中共太康县机构编制委员会关于印发太康县财政局主要职责内设机构和人员编制规定的通知》（太编[2015]31号）规定，设立太康县财政局为政府工作部门，经费实施全额预算管理。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单位性质行政，经费预算性质财政预算拨款，内设17个职能股室：办公室、人事股、综合股、预算股、国库股、行政政法股、教科文股、经济建设股、农业股、社会保障股、国有资产监督管理办公室、金融贸易股、会计管理股、县农村综合改革工作办公室、财政监督检查办公室、非税收入管理办公室、财务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依据《中共太康县机构编制委员会关于印发太康县财政局主要职责内设机构和人员编制规定的通知》（太编[2015]31号）规定，设立太康县财政局为政府工作部门，经费实施全额预算管理。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（一）拟订全县财税发展战略、政策、规划和改革方案并组织实施。研究提出建立完善现代财政制度,运用财政政策促进经济、政治、文化、社会、生态建设的政策措施。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（二）起草全县财政、财务、会计管理办法。在政府统一领导下,牵头建立政府购买服务工作机制,会同有关部门研究提出相关政策。</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三）负责全县财政收支管理工作,承担县级财政收支管理责任。负责编审年度县级财政预算草案并组织执行,受县政府委托向县人民代表大会报告全县和县级财政预算及其执行情况。负责编制全县年度财政决算草案并向县人大常委会报告。组织制定经费开支标准、定额,负责审核批复部门(单位)的年度预决算。建立全面规范、公开透明的预算制度。建立跨年度预算平衡机制,全面推进预算绩效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（四）研究提出完善县与县级政府之间事权、支出责任、财政收入划分方案的建议,完善转移支付制度。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（五）负责政府非税收入和政府性基金管理。编制年度县级政府性基金预算草案,汇总年度全县政府性基金预算。制定彩票管理政策,管理彩票市场,按规定管理彩票资金。研究制定政府非税收入管理制度。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六）组织制定全县财政国库管理制度、国库集中收付制度,指导和监督县级国库业务,按规定开展国库现金管理工作。负责建立权责发生制的政府综合财务报告制度。负责制定政府采购制度,编制县级政府采购预算并监督管理。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（七）负责管理和监督县级财政行政、政法、教育、科学、文化、体育等支出,研究提出相关财政政策建议。拟订行政事业单位财务管理制度和公务支出标准。承担县级国有文化企业资产与财务管理有关工作。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（八）负责管理和监督县级财政农业、林业、水利、扶贫等支出,研究提出相关财政政策建议。负责拟订全县农业综合开发资金、财务管理工作。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（九）负责监督管理县级财政经济发展支出,研究提出相关财政政策建议。制定全县基本建设财务制度,承担财政投资评审管理工作。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（十）负责管理和监督县级财政社会保障、就业及医疗卫生支出,会同有关部门拟订社会保障资金(基金)财务管理制度,编制县级社会保障预决算草案。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　（十一）负责管理和监督县级财政服务业发展、商业流通、旅游、粮食等支出,研究提出相关财政政策建议。拟订商业流通、旅游、粮食、物资、供销企业的财务管理制度;承担有关政策性补贴和专项储备资金财政管理工作。监督检查财税法规、政策的执行情况等.</w:t>
      </w:r>
    </w:p>
    <w:p>
      <w:pPr>
        <w:rPr>
          <w:rFonts w:hint="default"/>
          <w:lang w:val="en-US" w:eastAsia="zh-CN"/>
        </w:rPr>
      </w:pP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（二）年度部门总目标及主要任务</w:t>
      </w:r>
      <w:bookmarkEnd w:id="9"/>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bookmarkStart w:id="10" w:name="_Toc21119"/>
      <w:bookmarkStart w:id="11" w:name="_Toc5610"/>
      <w:bookmarkStart w:id="12" w:name="_Toc18200"/>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工作计划并</w:t>
      </w:r>
      <w:r>
        <w:rPr>
          <w:rFonts w:hint="eastAsia" w:ascii="仿宋" w:hAnsi="仿宋" w:eastAsia="仿宋" w:cs="仿宋"/>
          <w:sz w:val="32"/>
          <w:szCs w:val="32"/>
          <w:highlight w:val="none"/>
        </w:rPr>
        <w:t>结合部门年初工作要点，我单位制定了如下年度目标及任务：</w:t>
      </w:r>
      <w:bookmarkEnd w:id="10"/>
      <w:bookmarkEnd w:id="11"/>
      <w:bookmarkEnd w:id="12"/>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1.年度总体目标</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目标1：</w:t>
      </w:r>
      <w:r>
        <w:rPr>
          <w:rFonts w:hint="eastAsia" w:hAnsi="Calibri" w:cs="仿宋_GB2312"/>
          <w:sz w:val="32"/>
          <w:szCs w:val="32"/>
          <w:highlight w:val="none"/>
          <w:lang w:val="en-US" w:eastAsia="zh-CN"/>
        </w:rPr>
        <w:t>完善宏观调控体系，创新调控方式，构建发展规划、财政、金融等政策协调和工作协同机制，强化经济监测预测预警能力，建立健全重大问题研究和政策储备工作机制，增强宏观调控前瞻性、针对性、协同性。</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目标2：</w:t>
      </w:r>
      <w:r>
        <w:rPr>
          <w:rFonts w:hint="eastAsia" w:ascii="仿宋" w:hAnsi="仿宋" w:eastAsia="仿宋" w:cs="仿宋"/>
          <w:sz w:val="32"/>
          <w:szCs w:val="32"/>
          <w:highlight w:val="none"/>
          <w:lang w:val="en-US" w:eastAsia="zh-CN"/>
        </w:rPr>
        <w:t>加快建立现代化财政制度，推进财政事权和支出责任划分改革，理顺县乡（镇）财政关系。</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目标3：</w:t>
      </w:r>
      <w:r>
        <w:rPr>
          <w:rFonts w:hint="eastAsia" w:ascii="仿宋" w:hAnsi="仿宋" w:eastAsia="仿宋" w:cs="仿宋"/>
          <w:sz w:val="32"/>
          <w:szCs w:val="32"/>
          <w:highlight w:val="none"/>
          <w:lang w:val="en-US" w:eastAsia="zh-CN"/>
        </w:rPr>
        <w:t>完善转移支付制度，优化转移支付分类，规范转移支付项目，增强县乡（镇）统筹能力。</w:t>
      </w:r>
    </w:p>
    <w:p>
      <w:pPr>
        <w:pStyle w:val="5"/>
        <w:rPr>
          <w:rFonts w:hint="eastAsia" w:ascii="仿宋" w:hAnsi="仿宋" w:eastAsia="仿宋" w:cs="仿宋"/>
          <w:sz w:val="32"/>
          <w:szCs w:val="32"/>
        </w:rPr>
      </w:pPr>
      <w:r>
        <w:rPr>
          <w:rFonts w:hint="eastAsia" w:ascii="仿宋" w:hAnsi="仿宋" w:eastAsia="仿宋" w:cs="仿宋"/>
          <w:sz w:val="32"/>
          <w:szCs w:val="32"/>
          <w:highlight w:val="none"/>
          <w:lang w:val="en-US" w:eastAsia="zh-CN"/>
        </w:rPr>
        <w:t>目标4：</w:t>
      </w:r>
      <w:r>
        <w:rPr>
          <w:rFonts w:hint="eastAsia" w:hAnsi="Calibri" w:cs="仿宋_GB2312"/>
          <w:sz w:val="32"/>
          <w:szCs w:val="32"/>
          <w:lang w:val="en-US" w:eastAsia="zh-CN"/>
        </w:rPr>
        <w:t>调动政府和市场两个积极性，规范运用政府和社会资本合作，深化财政性涉企资金基金化改革，健全融资担保体系，统筹发挥政府采购等政策功能，综合运用财政贴息、奖补、风险补偿等方式，引导金融机构和社会资本更好服务我县经济社会发展。</w:t>
      </w:r>
      <w:r>
        <w:rPr>
          <w:rFonts w:hint="eastAsia" w:ascii="仿宋" w:hAnsi="仿宋" w:eastAsia="仿宋" w:cs="仿宋"/>
          <w:color w:val="000000"/>
          <w:kern w:val="0"/>
          <w:sz w:val="31"/>
          <w:szCs w:val="31"/>
          <w:lang w:val="en-US" w:eastAsia="zh-CN" w:bidi="ar"/>
        </w:rPr>
        <w:t xml:space="preserve"> </w:t>
      </w:r>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2.年度主要工作内容</w:t>
      </w:r>
    </w:p>
    <w:p>
      <w:pPr>
        <w:pStyle w:val="19"/>
        <w:pageBreakBefore w:val="0"/>
        <w:widowControl w:val="0"/>
        <w:kinsoku/>
        <w:wordWrap/>
        <w:overflowPunct/>
        <w:topLinePunct w:val="0"/>
        <w:autoSpaceDE/>
        <w:autoSpaceDN/>
        <w:bidi w:val="0"/>
        <w:spacing w:line="360" w:lineRule="auto"/>
        <w:textAlignment w:val="auto"/>
        <w:rPr>
          <w:rFonts w:hint="eastAsia" w:ascii="仿宋" w:hAnsi="仿宋" w:cs="宋体"/>
          <w:color w:val="333333"/>
          <w:kern w:val="0"/>
          <w:sz w:val="32"/>
          <w:szCs w:val="32"/>
          <w:lang w:val="en-US" w:eastAsia="zh-CN"/>
        </w:rPr>
      </w:pPr>
      <w:r>
        <w:rPr>
          <w:rFonts w:hint="eastAsia" w:ascii="仿宋" w:hAnsi="仿宋" w:eastAsia="仿宋" w:cs="仿宋"/>
          <w:sz w:val="32"/>
          <w:szCs w:val="32"/>
          <w:highlight w:val="none"/>
        </w:rPr>
        <w:t>任务1：</w:t>
      </w:r>
      <w:r>
        <w:rPr>
          <w:rFonts w:hint="eastAsia" w:ascii="仿宋" w:hAnsi="仿宋" w:eastAsia="仿宋" w:cs="宋体"/>
          <w:color w:val="333333"/>
          <w:kern w:val="0"/>
          <w:sz w:val="32"/>
          <w:szCs w:val="32"/>
          <w:lang w:val="en-US" w:eastAsia="zh-CN"/>
        </w:rPr>
        <w:t>保障财政局工作正常运转</w:t>
      </w:r>
      <w:r>
        <w:rPr>
          <w:rFonts w:hint="eastAsia" w:ascii="仿宋" w:hAnsi="仿宋" w:cs="宋体"/>
          <w:color w:val="333333"/>
          <w:kern w:val="0"/>
          <w:sz w:val="32"/>
          <w:szCs w:val="32"/>
          <w:lang w:val="en-US" w:eastAsia="zh-CN"/>
        </w:rPr>
        <w:t>。</w:t>
      </w:r>
    </w:p>
    <w:p>
      <w:pPr>
        <w:pStyle w:val="19"/>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highlight w:val="none"/>
        </w:rPr>
        <w:t>任务2：</w:t>
      </w:r>
      <w:r>
        <w:rPr>
          <w:rFonts w:hint="eastAsia" w:ascii="仿宋" w:hAnsi="仿宋" w:eastAsia="仿宋" w:cs="宋体"/>
          <w:color w:val="333333"/>
          <w:kern w:val="0"/>
          <w:sz w:val="32"/>
          <w:szCs w:val="32"/>
          <w:lang w:val="en-US" w:eastAsia="zh-CN"/>
        </w:rPr>
        <w:t>保障财政所工作正常运转</w:t>
      </w:r>
      <w:r>
        <w:rPr>
          <w:rFonts w:hint="eastAsia" w:ascii="仿宋" w:hAnsi="仿宋" w:cs="宋体"/>
          <w:color w:val="333333"/>
          <w:kern w:val="0"/>
          <w:sz w:val="32"/>
          <w:szCs w:val="32"/>
          <w:lang w:val="en-US" w:eastAsia="zh-CN"/>
        </w:rPr>
        <w:t>。</w:t>
      </w:r>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3.年度部门整体预算绩效目标、绩效指标设定情况</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13" w:name="_Toc25009"/>
      <w:bookmarkStart w:id="14" w:name="_Toc19880"/>
      <w:bookmarkStart w:id="15" w:name="_Toc23108"/>
      <w:bookmarkStart w:id="16" w:name="_Toc12027"/>
      <w:bookmarkStart w:id="17" w:name="_Toc10759"/>
      <w:r>
        <w:rPr>
          <w:rFonts w:hint="eastAsia" w:ascii="仿宋" w:hAnsi="仿宋" w:eastAsia="仿宋" w:cs="仿宋"/>
          <w:sz w:val="32"/>
          <w:szCs w:val="32"/>
        </w:rPr>
        <w:t>我单位根</w:t>
      </w:r>
      <w:r>
        <w:rPr>
          <w:rFonts w:hint="eastAsia" w:ascii="仿宋" w:hAnsi="仿宋" w:eastAsia="仿宋" w:cs="仿宋"/>
          <w:sz w:val="32"/>
          <w:szCs w:val="32"/>
          <w:highlight w:val="none"/>
        </w:rPr>
        <w:t>据</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w:t>
      </w:r>
      <w:r>
        <w:rPr>
          <w:rFonts w:hint="eastAsia" w:ascii="仿宋" w:hAnsi="仿宋" w:eastAsia="仿宋" w:cs="仿宋"/>
          <w:sz w:val="32"/>
          <w:szCs w:val="32"/>
        </w:rPr>
        <w:t>工作计划，</w:t>
      </w:r>
      <w:r>
        <w:rPr>
          <w:rFonts w:hint="eastAsia" w:ascii="仿宋" w:hAnsi="仿宋" w:eastAsia="仿宋" w:cs="仿宋"/>
          <w:sz w:val="32"/>
          <w:szCs w:val="32"/>
          <w:highlight w:val="none"/>
        </w:rPr>
        <w:t>按照</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文件</w:t>
      </w:r>
      <w:r>
        <w:rPr>
          <w:rFonts w:hint="eastAsia" w:ascii="仿宋" w:hAnsi="仿宋" w:eastAsia="仿宋" w:cs="仿宋"/>
          <w:sz w:val="32"/>
          <w:szCs w:val="32"/>
        </w:rPr>
        <w:t>要求，制定部门年度整体预算绩效目标表，具体内容详见附件1；</w:t>
      </w:r>
      <w:bookmarkEnd w:id="13"/>
      <w:bookmarkEnd w:id="14"/>
      <w:bookmarkEnd w:id="15"/>
      <w:bookmarkEnd w:id="16"/>
      <w:bookmarkEnd w:id="17"/>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本次自评指标体系包括3个一级指标、</w:t>
      </w:r>
      <w:r>
        <w:rPr>
          <w:rFonts w:hint="eastAsia" w:ascii="仿宋" w:hAnsi="仿宋" w:cs="仿宋"/>
          <w:sz w:val="32"/>
          <w:szCs w:val="32"/>
          <w:highlight w:val="none"/>
          <w:lang w:val="en-US" w:eastAsia="zh-CN"/>
        </w:rPr>
        <w:t>7</w:t>
      </w:r>
      <w:r>
        <w:rPr>
          <w:rFonts w:hint="eastAsia" w:ascii="仿宋" w:hAnsi="仿宋" w:eastAsia="仿宋" w:cs="仿宋"/>
          <w:sz w:val="32"/>
          <w:szCs w:val="32"/>
          <w:highlight w:val="none"/>
        </w:rPr>
        <w:t>个二级指标、3</w:t>
      </w:r>
      <w:r>
        <w:rPr>
          <w:rFonts w:hint="eastAsia" w:ascii="仿宋" w:hAnsi="仿宋" w:cs="仿宋"/>
          <w:sz w:val="32"/>
          <w:szCs w:val="32"/>
          <w:highlight w:val="none"/>
          <w:lang w:val="en-US" w:eastAsia="zh-CN"/>
        </w:rPr>
        <w:t>2</w:t>
      </w:r>
      <w:r>
        <w:rPr>
          <w:rFonts w:hint="eastAsia" w:ascii="仿宋" w:hAnsi="仿宋" w:eastAsia="仿宋" w:cs="仿宋"/>
          <w:sz w:val="32"/>
          <w:szCs w:val="32"/>
          <w:highlight w:val="none"/>
        </w:rPr>
        <w:t>个三级指标。其中一级指标</w:t>
      </w:r>
      <w:r>
        <w:rPr>
          <w:rFonts w:hint="eastAsia" w:ascii="仿宋" w:hAnsi="仿宋" w:eastAsia="仿宋" w:cs="仿宋"/>
          <w:sz w:val="32"/>
          <w:szCs w:val="32"/>
          <w:highlight w:val="none"/>
          <w:lang w:val="en-US" w:eastAsia="zh-CN"/>
        </w:rPr>
        <w:t>从</w:t>
      </w:r>
      <w:r>
        <w:rPr>
          <w:rFonts w:hint="eastAsia" w:ascii="仿宋" w:hAnsi="仿宋" w:eastAsia="仿宋" w:cs="仿宋"/>
          <w:sz w:val="32"/>
          <w:szCs w:val="32"/>
          <w:highlight w:val="none"/>
        </w:rPr>
        <w:t>投入管理指标、产出指标、效益指标3个方面</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对一级指标进行细化评价；二级指标从整体工作目标管理情况、预算和财务管理、绩效管理、重点工作任务完成、履职目标实现、履职效益、满意度</w:t>
      </w:r>
      <w:r>
        <w:rPr>
          <w:rFonts w:hint="eastAsia" w:ascii="仿宋" w:hAnsi="仿宋" w:cs="仿宋"/>
          <w:sz w:val="32"/>
          <w:szCs w:val="32"/>
          <w:highlight w:val="none"/>
          <w:lang w:val="en-US" w:eastAsia="zh-CN"/>
        </w:rPr>
        <w:t>7</w:t>
      </w:r>
      <w:r>
        <w:rPr>
          <w:rFonts w:hint="eastAsia" w:ascii="仿宋" w:hAnsi="仿宋" w:eastAsia="仿宋" w:cs="仿宋"/>
          <w:sz w:val="32"/>
          <w:szCs w:val="32"/>
          <w:highlight w:val="none"/>
        </w:rPr>
        <w:t>个方面对一级指标进行细化评价，三级指标是对二级指标的细化、量化。</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pPr>
      <w:bookmarkStart w:id="18" w:name="_Toc31554"/>
      <w:r>
        <w:rPr>
          <w:rFonts w:hint="eastAsia" w:ascii="仿宋" w:hAnsi="仿宋" w:eastAsia="仿宋" w:cs="仿宋"/>
          <w:color w:val="auto"/>
          <w:sz w:val="32"/>
          <w:szCs w:val="32"/>
        </w:rPr>
        <w:t>二、绩效自评工作开展情况</w:t>
      </w:r>
      <w:bookmarkEnd w:id="18"/>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19" w:name="_Toc12307"/>
      <w:r>
        <w:rPr>
          <w:rFonts w:hint="eastAsia" w:ascii="仿宋" w:hAnsi="仿宋" w:eastAsia="仿宋" w:cs="仿宋"/>
          <w:sz w:val="32"/>
          <w:szCs w:val="32"/>
          <w:lang w:val="en-US" w:eastAsia="zh-CN"/>
        </w:rPr>
        <w:t>（一）评价方法</w:t>
      </w:r>
      <w:bookmarkEnd w:id="19"/>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一是对照“部门整体支出绩效评价指标体系评分表”的主要考评内容及工作完成情况，将可以公开的资料整理成佐证材料。对照当年工作计划和上级交办的各项工作内容，进行自评、复</w:t>
      </w:r>
      <w:r>
        <w:rPr>
          <w:rFonts w:hint="eastAsia" w:ascii="仿宋" w:hAnsi="仿宋" w:eastAsia="仿宋" w:cs="仿宋"/>
          <w:sz w:val="32"/>
          <w:szCs w:val="32"/>
          <w:lang w:val="en-US" w:eastAsia="zh-CN"/>
        </w:rPr>
        <w:t>核</w:t>
      </w:r>
      <w:r>
        <w:rPr>
          <w:rFonts w:hint="eastAsia" w:ascii="仿宋" w:hAnsi="仿宋" w:eastAsia="仿宋" w:cs="仿宋"/>
          <w:sz w:val="32"/>
          <w:szCs w:val="32"/>
        </w:rPr>
        <w:t>，形成总体得分。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二是制作了网络调查问卷，指派专人管理，对评价情况进行统计、汇总和复核后，形成</w:t>
      </w:r>
      <w:r>
        <w:rPr>
          <w:rFonts w:hint="eastAsia" w:ascii="仿宋" w:hAnsi="仿宋" w:eastAsia="仿宋" w:cs="仿宋"/>
          <w:sz w:val="32"/>
          <w:szCs w:val="32"/>
          <w:lang w:eastAsia="zh-CN"/>
        </w:rPr>
        <w:t>我</w:t>
      </w:r>
      <w:r>
        <w:rPr>
          <w:rFonts w:hint="eastAsia" w:ascii="仿宋" w:hAnsi="仿宋" w:eastAsia="仿宋" w:cs="仿宋"/>
          <w:sz w:val="32"/>
          <w:szCs w:val="32"/>
        </w:rPr>
        <w:t>单位社会满意度调查结果。</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20" w:name="_Toc25686"/>
      <w:r>
        <w:rPr>
          <w:rFonts w:hint="eastAsia" w:ascii="仿宋" w:hAnsi="仿宋" w:eastAsia="仿宋" w:cs="仿宋"/>
          <w:sz w:val="32"/>
          <w:szCs w:val="32"/>
          <w:lang w:val="en-US" w:eastAsia="zh-CN"/>
        </w:rPr>
        <w:t>（二）工作程序</w:t>
      </w:r>
      <w:bookmarkEnd w:id="20"/>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val="en-US" w:eastAsia="zh-CN"/>
        </w:rPr>
        <w:t>周口市太康县财政局《关于开展2021年度部门整体支出绩效自评工作的通知》</w:t>
      </w:r>
      <w:r>
        <w:rPr>
          <w:rFonts w:hint="eastAsia" w:ascii="仿宋" w:hAnsi="仿宋" w:eastAsia="仿宋" w:cs="仿宋"/>
          <w:sz w:val="32"/>
          <w:szCs w:val="32"/>
          <w:highlight w:val="none"/>
        </w:rPr>
        <w:t>及要求，</w:t>
      </w:r>
      <w:r>
        <w:rPr>
          <w:rFonts w:hint="eastAsia" w:ascii="仿宋" w:hAnsi="仿宋" w:eastAsia="仿宋" w:cs="仿宋"/>
          <w:sz w:val="32"/>
          <w:szCs w:val="32"/>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ascii="仿宋" w:hAnsi="仿宋" w:eastAsia="仿宋" w:cs="仿宋"/>
          <w:sz w:val="32"/>
          <w:szCs w:val="32"/>
          <w:lang w:eastAsia="zh-CN"/>
        </w:rPr>
        <w:t>2021</w:t>
      </w:r>
      <w:r>
        <w:rPr>
          <w:rFonts w:hint="eastAsia" w:ascii="仿宋" w:hAnsi="仿宋" w:eastAsia="仿宋" w:cs="仿宋"/>
          <w:sz w:val="32"/>
          <w:szCs w:val="32"/>
        </w:rPr>
        <w:t>年度部门整体履职效益进行自评打分，发现问题，并落实整改。</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pPr>
      <w:bookmarkStart w:id="21" w:name="_Toc3418"/>
      <w:r>
        <w:rPr>
          <w:rFonts w:hint="eastAsia" w:ascii="仿宋" w:hAnsi="仿宋" w:eastAsia="仿宋" w:cs="仿宋"/>
          <w:color w:val="auto"/>
          <w:sz w:val="32"/>
          <w:szCs w:val="32"/>
        </w:rPr>
        <w:t>三、综合评价结论</w:t>
      </w:r>
      <w:bookmarkEnd w:id="21"/>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依</w:t>
      </w:r>
      <w:r>
        <w:rPr>
          <w:rFonts w:hint="eastAsia" w:ascii="仿宋" w:hAnsi="仿宋" w:eastAsia="仿宋" w:cs="仿宋"/>
          <w:color w:val="000000" w:themeColor="text1"/>
          <w:sz w:val="32"/>
          <w:szCs w:val="32"/>
          <w:highlight w:val="none"/>
          <w14:textFill>
            <w14:solidFill>
              <w14:schemeClr w14:val="tx1"/>
            </w14:solidFill>
          </w14:textFill>
        </w:rPr>
        <w:t>据自评指标体系，通过对预算执行情况、投入管理指标、产出指标、效益指标进行全面综合评价，</w:t>
      </w: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年度我单位整体自评得分为</w:t>
      </w:r>
      <w:r>
        <w:rPr>
          <w:rFonts w:hint="eastAsia" w:ascii="仿宋" w:hAnsi="仿宋" w:cs="仿宋"/>
          <w:color w:val="000000" w:themeColor="text1"/>
          <w:sz w:val="32"/>
          <w:szCs w:val="32"/>
          <w:highlight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14:textFill>
            <w14:solidFill>
              <w14:schemeClr w14:val="tx1"/>
            </w14:solidFill>
          </w14:textFill>
        </w:rPr>
        <w:t>分，评价等级为“</w:t>
      </w:r>
      <w:r>
        <w:rPr>
          <w:rFonts w:hint="eastAsia" w:ascii="仿宋" w:hAnsi="仿宋" w:cs="仿宋"/>
          <w:color w:val="000000" w:themeColor="text1"/>
          <w:sz w:val="32"/>
          <w:szCs w:val="32"/>
          <w:highlight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14:textFill>
            <w14:solidFill>
              <w14:schemeClr w14:val="tx1"/>
            </w14:solidFill>
          </w14:textFill>
        </w:rPr>
        <w:t>”。其中，预算执行率一项得分</w:t>
      </w:r>
      <w:r>
        <w:rPr>
          <w:rFonts w:hint="eastAsia" w:ascii="仿宋" w:hAnsi="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分，投入管理指标得分</w:t>
      </w:r>
      <w:r>
        <w:rPr>
          <w:rFonts w:hint="eastAsia" w:ascii="仿宋" w:hAnsi="仿宋" w:cs="仿宋"/>
          <w:color w:val="000000" w:themeColor="text1"/>
          <w:sz w:val="32"/>
          <w:szCs w:val="32"/>
          <w:highlight w:val="none"/>
          <w:lang w:val="en-US" w:eastAsia="zh-CN"/>
          <w14:textFill>
            <w14:solidFill>
              <w14:schemeClr w14:val="tx1"/>
            </w14:solidFill>
          </w14:textFill>
        </w:rPr>
        <w:t>29</w:t>
      </w:r>
      <w:r>
        <w:rPr>
          <w:rFonts w:hint="eastAsia" w:ascii="仿宋" w:hAnsi="仿宋" w:eastAsia="仿宋" w:cs="仿宋"/>
          <w:color w:val="000000" w:themeColor="text1"/>
          <w:sz w:val="32"/>
          <w:szCs w:val="32"/>
          <w:highlight w:val="none"/>
          <w14:textFill>
            <w14:solidFill>
              <w14:schemeClr w14:val="tx1"/>
            </w14:solidFill>
          </w14:textFill>
        </w:rPr>
        <w:t>分，产出指标得分</w:t>
      </w:r>
      <w:r>
        <w:rPr>
          <w:rFonts w:hint="eastAsia" w:ascii="仿宋" w:hAnsi="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分，效益指标得分</w:t>
      </w:r>
      <w:r>
        <w:rPr>
          <w:rFonts w:hint="eastAsia" w:ascii="仿宋" w:hAnsi="仿宋" w:cs="仿宋"/>
          <w:color w:val="000000" w:themeColor="text1"/>
          <w:sz w:val="32"/>
          <w:szCs w:val="32"/>
          <w:highlight w:val="none"/>
          <w:lang w:val="en-US" w:eastAsia="zh-CN"/>
          <w14:textFill>
            <w14:solidFill>
              <w14:schemeClr w14:val="tx1"/>
            </w14:solidFill>
          </w14:textFill>
        </w:rPr>
        <w:t>28</w:t>
      </w:r>
      <w:r>
        <w:rPr>
          <w:rFonts w:hint="eastAsia" w:ascii="仿宋" w:hAnsi="仿宋" w:eastAsia="仿宋" w:cs="仿宋"/>
          <w:color w:val="000000" w:themeColor="text1"/>
          <w:sz w:val="32"/>
          <w:szCs w:val="32"/>
          <w:highlight w:val="none"/>
          <w14:textFill>
            <w14:solidFill>
              <w14:schemeClr w14:val="tx1"/>
            </w14:solidFill>
          </w14:textFill>
        </w:rPr>
        <w:t>分；总体得分情况如下表3-1，具体指标得分情况详见表3-</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p>
      <w:pPr>
        <w:pStyle w:val="2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表3-1 部门整体得分情况</w:t>
      </w:r>
    </w:p>
    <w:tbl>
      <w:tblPr>
        <w:tblStyle w:val="15"/>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30</w:t>
            </w:r>
          </w:p>
        </w:tc>
        <w:tc>
          <w:tcPr>
            <w:tcW w:w="753"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30</w:t>
            </w:r>
          </w:p>
        </w:tc>
        <w:tc>
          <w:tcPr>
            <w:tcW w:w="52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96.66%</w:t>
            </w:r>
          </w:p>
        </w:tc>
        <w:tc>
          <w:tcPr>
            <w:tcW w:w="72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100%</w:t>
            </w:r>
          </w:p>
        </w:tc>
        <w:tc>
          <w:tcPr>
            <w:tcW w:w="753"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93.33%</w:t>
            </w:r>
          </w:p>
        </w:tc>
        <w:tc>
          <w:tcPr>
            <w:tcW w:w="52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29</w:t>
            </w:r>
          </w:p>
        </w:tc>
        <w:tc>
          <w:tcPr>
            <w:tcW w:w="724"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30</w:t>
            </w:r>
          </w:p>
        </w:tc>
        <w:tc>
          <w:tcPr>
            <w:tcW w:w="753"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28</w:t>
            </w:r>
          </w:p>
        </w:tc>
        <w:tc>
          <w:tcPr>
            <w:tcW w:w="520"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97</w:t>
            </w:r>
          </w:p>
        </w:tc>
      </w:tr>
    </w:tbl>
    <w:p>
      <w:pPr>
        <w:pStyle w:val="2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表3-2 各项指标得分情况表</w:t>
      </w:r>
    </w:p>
    <w:tbl>
      <w:tblPr>
        <w:tblStyle w:val="14"/>
        <w:tblW w:w="4998" w:type="pct"/>
        <w:jc w:val="center"/>
        <w:tblLayout w:type="autofit"/>
        <w:tblCellMar>
          <w:top w:w="0" w:type="dxa"/>
          <w:left w:w="108" w:type="dxa"/>
          <w:bottom w:w="0" w:type="dxa"/>
          <w:right w:w="108" w:type="dxa"/>
        </w:tblCellMar>
      </w:tblPr>
      <w:tblGrid>
        <w:gridCol w:w="915"/>
        <w:gridCol w:w="1365"/>
        <w:gridCol w:w="2703"/>
        <w:gridCol w:w="1057"/>
        <w:gridCol w:w="1178"/>
        <w:gridCol w:w="696"/>
        <w:gridCol w:w="602"/>
        <w:gridCol w:w="3"/>
      </w:tblGrid>
      <w:tr>
        <w:tblPrEx>
          <w:tblCellMar>
            <w:top w:w="0" w:type="dxa"/>
            <w:left w:w="108" w:type="dxa"/>
            <w:bottom w:w="0" w:type="dxa"/>
            <w:right w:w="108" w:type="dxa"/>
          </w:tblCellMar>
        </w:tblPrEx>
        <w:trPr>
          <w:trHeight w:val="567" w:hRule="atLeast"/>
          <w:tblHeader/>
          <w:jc w:val="center"/>
        </w:trPr>
        <w:tc>
          <w:tcPr>
            <w:tcW w:w="53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一级指标</w:t>
            </w:r>
          </w:p>
        </w:tc>
        <w:tc>
          <w:tcPr>
            <w:tcW w:w="80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二级指标</w:t>
            </w:r>
          </w:p>
        </w:tc>
        <w:tc>
          <w:tcPr>
            <w:tcW w:w="15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三级指标</w:t>
            </w:r>
          </w:p>
        </w:tc>
        <w:tc>
          <w:tcPr>
            <w:tcW w:w="62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指标值</w:t>
            </w:r>
          </w:p>
        </w:tc>
        <w:tc>
          <w:tcPr>
            <w:tcW w:w="69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实际完成值</w:t>
            </w:r>
          </w:p>
        </w:tc>
        <w:tc>
          <w:tcPr>
            <w:tcW w:w="40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分值</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得分</w:t>
            </w:r>
          </w:p>
        </w:tc>
      </w:tr>
      <w:tr>
        <w:tblPrEx>
          <w:tblCellMar>
            <w:top w:w="0" w:type="dxa"/>
            <w:left w:w="108" w:type="dxa"/>
            <w:bottom w:w="0" w:type="dxa"/>
            <w:right w:w="108" w:type="dxa"/>
          </w:tblCellMar>
        </w:tblPrEx>
        <w:trPr>
          <w:trHeight w:val="567" w:hRule="atLeast"/>
          <w:jc w:val="center"/>
        </w:trPr>
        <w:tc>
          <w:tcPr>
            <w:tcW w:w="53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预算执行率</w:t>
            </w:r>
          </w:p>
        </w:tc>
        <w:tc>
          <w:tcPr>
            <w:tcW w:w="80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预算执行率</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53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投入管理指标</w:t>
            </w: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工作目标管理</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年度履职目标相关性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相关</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相关</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工作任务科学性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科学</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科学</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绩效指标合理性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合理</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lang w:val="en-US" w:eastAsia="zh-CN"/>
              </w:rPr>
              <w:t>基本合理</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预算和财务管理</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预算编制完整性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完整</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完整</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专项资金细化率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预算调整率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≤20%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结转结余率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≤20%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0</w:t>
            </w:r>
            <w:r>
              <w:rPr>
                <w:rFonts w:hint="default"/>
                <w:color w:val="auto"/>
                <w:highlight w:val="none"/>
                <w:lang w:val="en-US" w:eastAsia="zh-CN"/>
              </w:rPr>
              <w:t>%</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“三公经”控制率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政府采购执行率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≥95%</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决算真实性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真实</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真实</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资金使用合规性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合规</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合规</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管理制度健全性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健全</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健全</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预决算信息公幵性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公开</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公开</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资产管理规范性</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规范</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规范</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绩效管理</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绩效监控完成率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绩效自评完成率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部门绩效评价完成率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评价结果应用率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color w:val="auto"/>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37" w:type="pct"/>
            <w:vMerge w:val="restart"/>
            <w:tcBorders>
              <w:top w:val="single" w:color="000000" w:sz="4" w:space="0"/>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产出指标</w:t>
            </w:r>
          </w:p>
        </w:tc>
        <w:tc>
          <w:tcPr>
            <w:tcW w:w="801" w:type="pct"/>
            <w:vMerge w:val="restart"/>
            <w:tcBorders>
              <w:top w:val="single" w:color="000000" w:sz="4" w:space="0"/>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重点工作任务完成</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重点工作1计划完成率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100</w:t>
            </w:r>
            <w:r>
              <w:rPr>
                <w:rFonts w:hint="default"/>
                <w:color w:val="auto"/>
                <w:highlight w:val="none"/>
                <w:lang w:val="en-US" w:eastAsia="zh-CN"/>
              </w:rPr>
              <w:t>%</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537"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重点工作2计划完成率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12</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537"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restart"/>
            <w:tcBorders>
              <w:top w:val="single" w:color="000000" w:sz="4" w:space="0"/>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履职目标实现</w:t>
            </w: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年度工作目标1实现率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3</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37"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rPr>
              <w:t>年度工作目标</w:t>
            </w:r>
            <w:r>
              <w:rPr>
                <w:rFonts w:hint="eastAsia"/>
                <w:color w:val="auto"/>
                <w:highlight w:val="none"/>
                <w:lang w:val="en-US" w:eastAsia="zh-CN"/>
              </w:rPr>
              <w:t>2</w:t>
            </w:r>
            <w:r>
              <w:rPr>
                <w:rFonts w:hint="eastAsia"/>
                <w:color w:val="auto"/>
                <w:highlight w:val="none"/>
              </w:rPr>
              <w:t>实现率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3</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37"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olor w:val="auto"/>
                <w:highlight w:val="none"/>
              </w:rPr>
              <w:t>年度工作目标</w:t>
            </w:r>
            <w:r>
              <w:rPr>
                <w:rFonts w:hint="eastAsia"/>
                <w:color w:val="auto"/>
                <w:highlight w:val="none"/>
                <w:lang w:val="en-US" w:eastAsia="zh-CN"/>
              </w:rPr>
              <w:t>3</w:t>
            </w:r>
            <w:r>
              <w:rPr>
                <w:rFonts w:hint="eastAsia"/>
                <w:color w:val="auto"/>
                <w:highlight w:val="none"/>
              </w:rPr>
              <w:t>实现率</w:t>
            </w: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color w:val="auto"/>
                <w:highlight w:val="none"/>
                <w:lang w:val="en-US" w:eastAsia="zh-CN"/>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color w:val="auto"/>
                <w:highlight w:val="none"/>
                <w:lang w:val="en-US" w:eastAsia="zh-CN"/>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color w:val="auto"/>
                <w:highlight w:val="none"/>
                <w:lang w:val="en-US" w:eastAsia="zh-CN"/>
              </w:rPr>
            </w:pPr>
            <w:r>
              <w:rPr>
                <w:rFonts w:hint="eastAsia"/>
                <w:color w:val="auto"/>
                <w:highlight w:val="none"/>
                <w:lang w:val="en-US" w:eastAsia="zh-CN"/>
              </w:rPr>
              <w:t>3</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color w:val="auto"/>
                <w:highlight w:val="none"/>
                <w:lang w:val="en-US" w:eastAsia="zh-CN"/>
              </w:rPr>
            </w:pPr>
            <w:r>
              <w:rPr>
                <w:rFonts w:hint="eastAsia"/>
                <w:color w:val="auto"/>
                <w:highlight w:val="none"/>
                <w:lang w:val="en-US" w:eastAsia="zh-CN"/>
              </w:rPr>
              <w:t>3</w:t>
            </w:r>
          </w:p>
        </w:tc>
      </w:tr>
      <w:tr>
        <w:tblPrEx>
          <w:tblCellMar>
            <w:top w:w="0" w:type="dxa"/>
            <w:left w:w="108" w:type="dxa"/>
            <w:bottom w:w="0" w:type="dxa"/>
            <w:right w:w="108" w:type="dxa"/>
          </w:tblCellMar>
        </w:tblPrEx>
        <w:trPr>
          <w:gridAfter w:val="1"/>
          <w:wAfter w:w="1" w:type="pct"/>
          <w:trHeight w:val="567" w:hRule="atLeast"/>
          <w:jc w:val="center"/>
        </w:trPr>
        <w:tc>
          <w:tcPr>
            <w:tcW w:w="537" w:type="pct"/>
            <w:vMerge w:val="continue"/>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tcBorders>
              <w:left w:val="single" w:color="000000" w:sz="4" w:space="0"/>
              <w:right w:val="single" w:color="000000"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15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ascii="Times New Roman" w:hAnsi="Times New Roman" w:eastAsia="仿宋" w:cstheme="minorBidi"/>
                <w:color w:val="auto"/>
                <w:kern w:val="2"/>
                <w:sz w:val="24"/>
                <w:szCs w:val="24"/>
                <w:highlight w:val="none"/>
                <w:lang w:val="en-US" w:eastAsia="zh-CN" w:bidi="ar-SA"/>
              </w:rPr>
            </w:pPr>
            <w:r>
              <w:rPr>
                <w:rFonts w:hint="eastAsia"/>
                <w:color w:val="auto"/>
                <w:highlight w:val="none"/>
              </w:rPr>
              <w:t>年度工作目标</w:t>
            </w:r>
            <w:r>
              <w:rPr>
                <w:rFonts w:hint="eastAsia"/>
                <w:color w:val="auto"/>
                <w:highlight w:val="none"/>
                <w:lang w:val="en-US" w:eastAsia="zh-CN"/>
              </w:rPr>
              <w:t>4</w:t>
            </w:r>
            <w:r>
              <w:rPr>
                <w:rFonts w:hint="eastAsia"/>
                <w:color w:val="auto"/>
                <w:highlight w:val="none"/>
              </w:rPr>
              <w:t>实现率</w:t>
            </w:r>
          </w:p>
          <w:p>
            <w:pPr>
              <w:pStyle w:val="21"/>
              <w:bidi w:val="0"/>
              <w:ind w:firstLine="0" w:firstLineChars="0"/>
              <w:rPr>
                <w:rFonts w:hint="default"/>
                <w:color w:val="auto"/>
                <w:highlight w:val="none"/>
                <w:lang w:val="en-US" w:eastAsia="zh-CN"/>
              </w:rPr>
            </w:pPr>
          </w:p>
        </w:tc>
        <w:tc>
          <w:tcPr>
            <w:tcW w:w="6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color w:val="auto"/>
                <w:highlight w:val="none"/>
                <w:lang w:val="en-US" w:eastAsia="zh-CN"/>
              </w:rPr>
            </w:pPr>
            <w:r>
              <w:rPr>
                <w:rFonts w:hint="default"/>
                <w:color w:val="auto"/>
                <w:highlight w:val="none"/>
                <w:lang w:val="en-US" w:eastAsia="zh-CN"/>
              </w:rPr>
              <w:t>100%</w:t>
            </w:r>
          </w:p>
        </w:tc>
        <w:tc>
          <w:tcPr>
            <w:tcW w:w="6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eastAsia"/>
                <w:color w:val="auto"/>
                <w:highlight w:val="none"/>
                <w:lang w:val="en-US" w:eastAsia="zh-CN"/>
              </w:rPr>
            </w:pPr>
            <w:r>
              <w:rPr>
                <w:rFonts w:hint="default"/>
                <w:color w:val="auto"/>
                <w:highlight w:val="none"/>
                <w:lang w:val="en-US" w:eastAsia="zh-CN"/>
              </w:rPr>
              <w:t>100%</w:t>
            </w:r>
          </w:p>
        </w:tc>
        <w:tc>
          <w:tcPr>
            <w:tcW w:w="408" w:type="pct"/>
            <w:tcBorders>
              <w:top w:val="single" w:color="000000" w:sz="4" w:space="0"/>
              <w:left w:val="single" w:color="000000" w:sz="4" w:space="0"/>
              <w:bottom w:val="single" w:color="000000" w:sz="4" w:space="0"/>
              <w:right w:val="single" w:color="auto" w:sz="4" w:space="0"/>
            </w:tcBorders>
            <w:shd w:val="clear" w:color="auto" w:fill="FFFFFF"/>
            <w:vAlign w:val="center"/>
          </w:tcPr>
          <w:p>
            <w:pPr>
              <w:pStyle w:val="21"/>
              <w:bidi w:val="0"/>
              <w:ind w:firstLine="0" w:firstLineChars="0"/>
              <w:rPr>
                <w:rFonts w:hint="eastAsia"/>
                <w:color w:val="auto"/>
                <w:highlight w:val="none"/>
                <w:lang w:val="en-US" w:eastAsia="zh-CN"/>
              </w:rPr>
            </w:pPr>
            <w:r>
              <w:rPr>
                <w:rFonts w:hint="eastAsia"/>
                <w:color w:val="auto"/>
                <w:highlight w:val="none"/>
                <w:lang w:val="en-US" w:eastAsia="zh-CN"/>
              </w:rPr>
              <w:t>3</w:t>
            </w:r>
          </w:p>
        </w:tc>
        <w:tc>
          <w:tcPr>
            <w:tcW w:w="353" w:type="pct"/>
            <w:tcBorders>
              <w:top w:val="single" w:color="auto" w:sz="4" w:space="0"/>
              <w:left w:val="single" w:color="auto" w:sz="4" w:space="0"/>
              <w:right w:val="single" w:color="auto" w:sz="4" w:space="0"/>
            </w:tcBorders>
            <w:vAlign w:val="center"/>
          </w:tcPr>
          <w:p>
            <w:pPr>
              <w:pStyle w:val="21"/>
              <w:bidi w:val="0"/>
              <w:ind w:firstLine="0" w:firstLineChars="0"/>
            </w:pPr>
            <w:r>
              <w:rPr>
                <w:rFonts w:hint="eastAsia"/>
                <w:color w:val="auto"/>
                <w:highlight w:val="none"/>
                <w:lang w:val="en-US" w:eastAsia="zh-CN"/>
              </w:rPr>
              <w:t>3</w:t>
            </w:r>
          </w:p>
        </w:tc>
      </w:tr>
      <w:tr>
        <w:tblPrEx>
          <w:tblCellMar>
            <w:top w:w="0" w:type="dxa"/>
            <w:left w:w="108" w:type="dxa"/>
            <w:bottom w:w="0" w:type="dxa"/>
            <w:right w:w="108" w:type="dxa"/>
          </w:tblCellMar>
        </w:tblPrEx>
        <w:trPr>
          <w:trHeight w:val="567" w:hRule="atLeast"/>
          <w:jc w:val="center"/>
        </w:trPr>
        <w:tc>
          <w:tcPr>
            <w:tcW w:w="537"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效益指标</w:t>
            </w:r>
          </w:p>
        </w:tc>
        <w:tc>
          <w:tcPr>
            <w:tcW w:w="801" w:type="pct"/>
            <w:vMerge w:val="restart"/>
            <w:tcBorders>
              <w:top w:val="single" w:color="auto" w:sz="4" w:space="0"/>
              <w:left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履职效益</w:t>
            </w:r>
          </w:p>
        </w:tc>
        <w:tc>
          <w:tcPr>
            <w:tcW w:w="15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jc w:val="center"/>
              <w:rPr>
                <w:rFonts w:hint="eastAsia"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保障财政工作</w:t>
            </w:r>
          </w:p>
        </w:tc>
        <w:tc>
          <w:tcPr>
            <w:tcW w:w="6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保障</w:t>
            </w:r>
          </w:p>
        </w:tc>
        <w:tc>
          <w:tcPr>
            <w:tcW w:w="69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保障</w:t>
            </w:r>
          </w:p>
        </w:tc>
        <w:tc>
          <w:tcPr>
            <w:tcW w:w="40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10</w:t>
            </w:r>
          </w:p>
        </w:tc>
        <w:tc>
          <w:tcPr>
            <w:tcW w:w="35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default"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8</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vMerge w:val="continue"/>
            <w:tcBorders>
              <w:left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p>
        </w:tc>
        <w:tc>
          <w:tcPr>
            <w:tcW w:w="15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eastAsia" w:eastAsia="仿宋" w:asciiTheme="minorHAnsi" w:hAnsiTheme="minorHAnsi" w:cstheme="minorBidi"/>
                <w:color w:val="auto"/>
                <w:kern w:val="2"/>
                <w:sz w:val="24"/>
                <w:szCs w:val="24"/>
                <w:highlight w:val="none"/>
                <w:lang w:val="en-US" w:eastAsia="zh-CN" w:bidi="ar-SA"/>
              </w:rPr>
            </w:pPr>
            <w:r>
              <w:rPr>
                <w:rFonts w:hint="eastAsia" w:eastAsia="仿宋" w:cstheme="minorBidi"/>
                <w:color w:val="auto"/>
                <w:kern w:val="2"/>
                <w:sz w:val="24"/>
                <w:szCs w:val="24"/>
                <w:highlight w:val="none"/>
                <w:lang w:val="en-US" w:eastAsia="zh-CN" w:bidi="ar-SA"/>
              </w:rPr>
              <w:t>提高服务质量</w:t>
            </w:r>
          </w:p>
        </w:tc>
        <w:tc>
          <w:tcPr>
            <w:tcW w:w="6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提高</w:t>
            </w:r>
          </w:p>
        </w:tc>
        <w:tc>
          <w:tcPr>
            <w:tcW w:w="69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eastAsia" w:asciiTheme="minorHAnsi" w:hAnsiTheme="minorHAnsi" w:eastAsiaTheme="minorEastAsia" w:cstheme="minorBidi"/>
                <w:color w:val="auto"/>
                <w:kern w:val="2"/>
                <w:sz w:val="24"/>
                <w:szCs w:val="24"/>
                <w:highlight w:val="none"/>
                <w:lang w:val="en-US" w:eastAsia="zh-CN" w:bidi="ar-SA"/>
              </w:rPr>
            </w:pPr>
            <w:r>
              <w:rPr>
                <w:rFonts w:hint="eastAsia" w:cstheme="minorBidi"/>
                <w:color w:val="auto"/>
                <w:kern w:val="2"/>
                <w:sz w:val="24"/>
                <w:szCs w:val="24"/>
                <w:highlight w:val="none"/>
                <w:lang w:val="en-US" w:eastAsia="zh-CN" w:bidi="ar-SA"/>
              </w:rPr>
              <w:t>提高</w:t>
            </w:r>
          </w:p>
        </w:tc>
        <w:tc>
          <w:tcPr>
            <w:tcW w:w="40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default" w:eastAsia="仿宋" w:asciiTheme="minorHAnsi" w:hAnsiTheme="minorHAnsi" w:cstheme="minorBidi"/>
                <w:color w:val="auto"/>
                <w:kern w:val="2"/>
                <w:sz w:val="24"/>
                <w:szCs w:val="24"/>
                <w:highlight w:val="none"/>
                <w:lang w:val="en-US" w:eastAsia="zh-CN" w:bidi="ar-SA"/>
              </w:rPr>
            </w:pPr>
            <w:r>
              <w:rPr>
                <w:rFonts w:hint="eastAsia" w:eastAsia="仿宋" w:cstheme="minorBidi"/>
                <w:color w:val="auto"/>
                <w:kern w:val="2"/>
                <w:sz w:val="24"/>
                <w:szCs w:val="24"/>
                <w:highlight w:val="none"/>
                <w:lang w:val="en-US" w:eastAsia="zh-CN" w:bidi="ar-SA"/>
              </w:rPr>
              <w:t>10</w:t>
            </w:r>
          </w:p>
        </w:tc>
        <w:tc>
          <w:tcPr>
            <w:tcW w:w="35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1"/>
              <w:bidi w:val="0"/>
              <w:ind w:firstLine="0" w:firstLineChars="0"/>
              <w:rPr>
                <w:rFonts w:hint="default" w:eastAsia="仿宋" w:asciiTheme="minorHAnsi" w:hAnsiTheme="minorHAnsi" w:cstheme="minorBidi"/>
                <w:color w:val="auto"/>
                <w:kern w:val="2"/>
                <w:sz w:val="24"/>
                <w:szCs w:val="24"/>
                <w:highlight w:val="none"/>
                <w:lang w:val="en-US" w:eastAsia="zh-CN" w:bidi="ar-SA"/>
              </w:rPr>
            </w:pPr>
            <w:r>
              <w:rPr>
                <w:rFonts w:hint="eastAsia" w:eastAsia="仿宋" w:cstheme="minorBidi"/>
                <w:color w:val="auto"/>
                <w:kern w:val="2"/>
                <w:sz w:val="24"/>
                <w:szCs w:val="24"/>
                <w:highlight w:val="none"/>
                <w:lang w:val="en-US" w:eastAsia="zh-CN" w:bidi="ar-SA"/>
              </w:rPr>
              <w:t>10</w:t>
            </w:r>
          </w:p>
        </w:tc>
      </w:tr>
      <w:tr>
        <w:tblPrEx>
          <w:tblCellMar>
            <w:top w:w="0" w:type="dxa"/>
            <w:left w:w="108" w:type="dxa"/>
            <w:bottom w:w="0" w:type="dxa"/>
            <w:right w:w="108" w:type="dxa"/>
          </w:tblCellMar>
        </w:tblPrEx>
        <w:trPr>
          <w:trHeight w:val="567" w:hRule="atLeast"/>
          <w:jc w:val="center"/>
        </w:trPr>
        <w:tc>
          <w:tcPr>
            <w:tcW w:w="537"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p>
        </w:tc>
        <w:tc>
          <w:tcPr>
            <w:tcW w:w="80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满意度</w:t>
            </w:r>
          </w:p>
        </w:tc>
        <w:tc>
          <w:tcPr>
            <w:tcW w:w="15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群众满意度</w:t>
            </w:r>
          </w:p>
        </w:tc>
        <w:tc>
          <w:tcPr>
            <w:tcW w:w="6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highlight w:val="none"/>
                <w:lang w:val="en-US"/>
              </w:rPr>
            </w:pPr>
            <w:r>
              <w:rPr>
                <w:rFonts w:hint="default" w:ascii="Arial" w:hAnsi="Arial" w:eastAsia="宋体" w:cs="Arial"/>
                <w:i w:val="0"/>
                <w:iCs w:val="0"/>
                <w:color w:val="000000"/>
                <w:sz w:val="18"/>
                <w:szCs w:val="18"/>
                <w:u w:val="none"/>
                <w:lang w:val="en-US" w:eastAsia="zh-CN"/>
              </w:rPr>
              <w:t>≥</w:t>
            </w:r>
            <w:r>
              <w:rPr>
                <w:rFonts w:hint="eastAsia" w:ascii="Arial" w:hAnsi="Arial" w:eastAsia="宋体" w:cs="Arial"/>
                <w:i w:val="0"/>
                <w:iCs w:val="0"/>
                <w:color w:val="000000"/>
                <w:sz w:val="18"/>
                <w:szCs w:val="18"/>
                <w:u w:val="none"/>
                <w:lang w:val="en-US" w:eastAsia="zh-CN"/>
              </w:rPr>
              <w:t>96%</w:t>
            </w:r>
          </w:p>
        </w:tc>
        <w:tc>
          <w:tcPr>
            <w:tcW w:w="69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96%</w:t>
            </w:r>
          </w:p>
        </w:tc>
        <w:tc>
          <w:tcPr>
            <w:tcW w:w="40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35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2924"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合计</w:t>
            </w:r>
          </w:p>
        </w:tc>
        <w:tc>
          <w:tcPr>
            <w:tcW w:w="6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p>
        </w:tc>
        <w:tc>
          <w:tcPr>
            <w:tcW w:w="691"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p>
        </w:tc>
        <w:tc>
          <w:tcPr>
            <w:tcW w:w="40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100</w:t>
            </w:r>
          </w:p>
        </w:tc>
        <w:tc>
          <w:tcPr>
            <w:tcW w:w="355"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97</w:t>
            </w:r>
          </w:p>
        </w:tc>
      </w:tr>
    </w:tbl>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br w:type="page"/>
      </w:r>
      <w:bookmarkStart w:id="22" w:name="_Toc18202"/>
      <w:r>
        <w:rPr>
          <w:rFonts w:hint="eastAsia" w:ascii="仿宋" w:hAnsi="仿宋" w:eastAsia="仿宋" w:cs="仿宋"/>
          <w:color w:val="auto"/>
          <w:sz w:val="32"/>
          <w:szCs w:val="32"/>
        </w:rPr>
        <w:t>四、绩效目标实现情况分析</w:t>
      </w:r>
      <w:bookmarkEnd w:id="22"/>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23" w:name="_Toc10468"/>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部门资金情况分析</w:t>
      </w:r>
      <w:bookmarkEnd w:id="23"/>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1.资金到位情况与资金执行情况</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w:t>
      </w: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年年初预算资金</w:t>
      </w:r>
      <w:r>
        <w:rPr>
          <w:rFonts w:hint="eastAsia" w:ascii="仿宋" w:hAnsi="仿宋" w:cs="仿宋"/>
          <w:color w:val="000000" w:themeColor="text1"/>
          <w:sz w:val="32"/>
          <w:szCs w:val="32"/>
          <w:highlight w:val="none"/>
          <w:lang w:val="en-US" w:eastAsia="zh-CN"/>
          <w14:textFill>
            <w14:solidFill>
              <w14:schemeClr w14:val="tx1"/>
            </w14:solidFill>
          </w14:textFill>
        </w:rPr>
        <w:t>2397.4</w:t>
      </w:r>
      <w:r>
        <w:rPr>
          <w:rFonts w:hint="eastAsia" w:ascii="仿宋" w:hAnsi="仿宋" w:eastAsia="仿宋" w:cs="仿宋"/>
          <w:color w:val="000000" w:themeColor="text1"/>
          <w:sz w:val="32"/>
          <w:szCs w:val="32"/>
          <w:highlight w:val="none"/>
          <w14:textFill>
            <w14:solidFill>
              <w14:schemeClr w14:val="tx1"/>
            </w14:solidFill>
          </w14:textFill>
        </w:rPr>
        <w:t>万元；经年中调整，增加预算资金</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调减预算</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lang w:val="en-US" w:eastAsia="zh-CN"/>
          <w14:textFill>
            <w14:solidFill>
              <w14:schemeClr w14:val="tx1"/>
            </w14:solidFill>
          </w14:textFill>
        </w:rPr>
        <w:t>万元</w:t>
      </w:r>
      <w:r>
        <w:rPr>
          <w:rFonts w:hint="eastAsia" w:ascii="仿宋" w:hAnsi="仿宋" w:eastAsia="仿宋" w:cs="仿宋"/>
          <w:color w:val="000000" w:themeColor="text1"/>
          <w:sz w:val="32"/>
          <w:szCs w:val="32"/>
          <w:highlight w:val="none"/>
          <w14:textFill>
            <w14:solidFill>
              <w14:schemeClr w14:val="tx1"/>
            </w14:solidFill>
          </w14:textFill>
        </w:rPr>
        <w:t>；全年预算资金总额</w:t>
      </w:r>
      <w:r>
        <w:rPr>
          <w:rFonts w:hint="eastAsia" w:ascii="仿宋" w:hAnsi="仿宋" w:cs="仿宋"/>
          <w:color w:val="000000" w:themeColor="text1"/>
          <w:sz w:val="32"/>
          <w:szCs w:val="32"/>
          <w:highlight w:val="none"/>
          <w:lang w:val="en-US" w:eastAsia="zh-CN"/>
          <w14:textFill>
            <w14:solidFill>
              <w14:schemeClr w14:val="tx1"/>
            </w14:solidFill>
          </w14:textFill>
        </w:rPr>
        <w:t>2397.4</w:t>
      </w:r>
      <w:r>
        <w:rPr>
          <w:rFonts w:hint="eastAsia" w:ascii="仿宋" w:hAnsi="仿宋" w:eastAsia="仿宋" w:cs="仿宋"/>
          <w:color w:val="000000" w:themeColor="text1"/>
          <w:sz w:val="32"/>
          <w:szCs w:val="32"/>
          <w:highlight w:val="none"/>
          <w14:textFill>
            <w14:solidFill>
              <w14:schemeClr w14:val="tx1"/>
            </w14:solidFill>
          </w14:textFill>
        </w:rPr>
        <w:t>万元。全年实际执行数为</w:t>
      </w:r>
      <w:r>
        <w:rPr>
          <w:rFonts w:hint="eastAsia" w:ascii="仿宋" w:hAnsi="仿宋" w:cs="仿宋"/>
          <w:color w:val="000000" w:themeColor="text1"/>
          <w:sz w:val="32"/>
          <w:szCs w:val="32"/>
          <w:highlight w:val="none"/>
          <w:lang w:val="en-US" w:eastAsia="zh-CN"/>
          <w14:textFill>
            <w14:solidFill>
              <w14:schemeClr w14:val="tx1"/>
            </w14:solidFill>
          </w14:textFill>
        </w:rPr>
        <w:t>2397.4</w:t>
      </w:r>
      <w:r>
        <w:rPr>
          <w:rFonts w:hint="eastAsia" w:ascii="仿宋" w:hAnsi="仿宋" w:eastAsia="仿宋" w:cs="仿宋"/>
          <w:color w:val="000000" w:themeColor="text1"/>
          <w:sz w:val="32"/>
          <w:szCs w:val="32"/>
          <w:highlight w:val="none"/>
          <w14:textFill>
            <w14:solidFill>
              <w14:schemeClr w14:val="tx1"/>
            </w14:solidFill>
          </w14:textFill>
        </w:rPr>
        <w:t>万元，预算执行率为</w:t>
      </w:r>
      <w:r>
        <w:rPr>
          <w:rFonts w:hint="eastAsia" w:ascii="仿宋" w:hAnsi="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。具体情况详见表4-1</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表4-1 部门资金情况分析表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决算表</w:t>
      </w:r>
      <w:r>
        <w:rPr>
          <w:rFonts w:hint="eastAsia" w:ascii="仿宋" w:hAnsi="仿宋" w:eastAsia="仿宋" w:cs="仿宋"/>
          <w:sz w:val="32"/>
          <w:szCs w:val="32"/>
          <w:highlight w:val="none"/>
          <w:lang w:eastAsia="zh-CN"/>
        </w:rPr>
        <w:t>）</w:t>
      </w:r>
    </w:p>
    <w:tbl>
      <w:tblPr>
        <w:tblStyle w:val="14"/>
        <w:tblW w:w="4999" w:type="pct"/>
        <w:jc w:val="center"/>
        <w:tblLayout w:type="autofit"/>
        <w:tblCellMar>
          <w:top w:w="0" w:type="dxa"/>
          <w:left w:w="108" w:type="dxa"/>
          <w:bottom w:w="0" w:type="dxa"/>
          <w:right w:w="108" w:type="dxa"/>
        </w:tblCellMar>
      </w:tblPr>
      <w:tblGrid>
        <w:gridCol w:w="4132"/>
        <w:gridCol w:w="859"/>
        <w:gridCol w:w="4176"/>
        <w:gridCol w:w="916"/>
        <w:gridCol w:w="3172"/>
        <w:gridCol w:w="916"/>
      </w:tblGrid>
      <w:tr>
        <w:tblPrEx>
          <w:tblCellMar>
            <w:top w:w="0" w:type="dxa"/>
            <w:left w:w="108" w:type="dxa"/>
            <w:bottom w:w="0" w:type="dxa"/>
            <w:right w:w="108" w:type="dxa"/>
          </w:tblCellMar>
        </w:tblPrEx>
        <w:trPr>
          <w:trHeight w:val="404" w:hRule="atLeast"/>
          <w:jc w:val="center"/>
        </w:trPr>
        <w:tc>
          <w:tcPr>
            <w:tcW w:w="17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收入</w:t>
            </w:r>
          </w:p>
        </w:tc>
        <w:tc>
          <w:tcPr>
            <w:tcW w:w="320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支出</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项目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经济科目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金额</w:t>
            </w:r>
          </w:p>
        </w:tc>
      </w:tr>
      <w:tr>
        <w:tblPrEx>
          <w:tblCellMar>
            <w:top w:w="0" w:type="dxa"/>
            <w:left w:w="108" w:type="dxa"/>
            <w:bottom w:w="0" w:type="dxa"/>
            <w:right w:w="108" w:type="dxa"/>
          </w:tblCellMar>
        </w:tblPrEx>
        <w:trPr>
          <w:trHeight w:val="50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一、一般公共预算财政拨款收入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一、一般公共服务支出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2121.65</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一、基本支出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r>
      <w:tr>
        <w:tblPrEx>
          <w:tblCellMar>
            <w:top w:w="0" w:type="dxa"/>
            <w:left w:w="108" w:type="dxa"/>
            <w:bottom w:w="0" w:type="dxa"/>
            <w:right w:w="108" w:type="dxa"/>
          </w:tblCellMar>
        </w:tblPrEx>
        <w:trPr>
          <w:trHeight w:val="32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二、政府性基金预算财政拨款收入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二、外交支出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人员经费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1615.39</w:t>
            </w:r>
          </w:p>
        </w:tc>
      </w:tr>
      <w:tr>
        <w:tblPrEx>
          <w:tblCellMar>
            <w:top w:w="0" w:type="dxa"/>
            <w:left w:w="108" w:type="dxa"/>
            <w:bottom w:w="0" w:type="dxa"/>
            <w:right w:w="108" w:type="dxa"/>
          </w:tblCellMar>
        </w:tblPrEx>
        <w:trPr>
          <w:trHeight w:val="9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三、国有资本经营预算财政拨款收入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三、国防支出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公用经费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782.01</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四、上级补助收入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四、公共安全支出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二、项目支出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五、事业收入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五、教育支出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其中：基本建设类项目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六、经营收入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六、科学技术支出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三、上缴上级支出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七、附属单位上缴收入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七、文化旅游体育与传媒支出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四、经营支出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八、其他收入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八、社会保障和就业支出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194.68</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五、对附属单位补助支出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九、卫生健康支出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81.07</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十、节能环保支出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十一、城乡社区支出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经济分类支出合计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十二、农林水支出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一、工资福利支出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1553.4</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十三、交通运输支出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二、商品和服务支出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782.01</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十四、资源勘探工业信息等支出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三、对个人和家庭的补助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61.99</w:t>
            </w: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十五、商业服务业等支出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四、债务利息及费用支出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十六、金融支出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五、资本性支出（基本建设）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十七、援助其他地区支出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六、资本性支出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十八、自然资源海洋气象等支出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七、对企业补助（基本建设）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十九、住房保障支出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八、对企业补助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二十、粮油物资储备支出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九、对社会保障基金补助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二十一、国有资本经营预算支出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十、其他支出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二十二、灾害防治及应急管理支出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二十三、其他支出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二十四、债务还本支出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二十五、债务付息支出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本年收入合计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本年支出合计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使用非财政拨款结余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结余分配</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年初结转和结余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年末结转和结余</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rPr>
              <w:t>总计</w:t>
            </w:r>
            <w:r>
              <w:rPr>
                <w:rFonts w:hint="eastAsia" w:ascii="仿宋" w:hAnsi="仿宋" w:eastAsia="仿宋" w:cs="仿宋"/>
                <w:sz w:val="20"/>
                <w:szCs w:val="20"/>
                <w:highlight w:val="none"/>
                <w:lang w:eastAsia="zh-CN"/>
              </w:rPr>
              <w:t>：</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总计：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spacing w:line="360" w:lineRule="auto"/>
              <w:textAlignment w:val="auto"/>
              <w:rPr>
                <w:rFonts w:hint="default"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2397.4</w:t>
            </w:r>
          </w:p>
        </w:tc>
      </w:tr>
    </w:tbl>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2.资金管理情况</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我单位参照相关国家法律法规，在《内部控制基本制度》中制定了财务管理、资产管理</w:t>
      </w:r>
      <w:r>
        <w:rPr>
          <w:rFonts w:hint="eastAsia" w:ascii="仿宋" w:hAnsi="仿宋" w:eastAsia="仿宋" w:cs="仿宋"/>
          <w:sz w:val="32"/>
          <w:szCs w:val="32"/>
          <w:lang w:val="en-US" w:eastAsia="zh-CN"/>
        </w:rPr>
        <w:t>等</w:t>
      </w:r>
      <w:r>
        <w:rPr>
          <w:rFonts w:hint="eastAsia" w:ascii="仿宋" w:hAnsi="仿宋" w:eastAsia="仿宋" w:cs="仿宋"/>
          <w:sz w:val="32"/>
          <w:szCs w:val="32"/>
        </w:rPr>
        <w:t>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24" w:name="_Toc3607"/>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项目绩效指标完成情况分析</w:t>
      </w:r>
      <w:bookmarkEnd w:id="24"/>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1.投入管理指标完成情况分析</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（1）工作目标管理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①年度履职目标相关性，指标2分，得2分。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我单位结合部门年初工作要点，制定了</w:t>
      </w:r>
      <w:r>
        <w:rPr>
          <w:rFonts w:hint="eastAsia" w:ascii="仿宋" w:hAnsi="仿宋" w:eastAsia="仿宋" w:cs="仿宋"/>
          <w:sz w:val="32"/>
          <w:szCs w:val="32"/>
          <w:highlight w:val="none"/>
          <w:lang w:val="en-US" w:eastAsia="zh-CN"/>
        </w:rPr>
        <w:t>年度</w:t>
      </w:r>
      <w:r>
        <w:rPr>
          <w:rFonts w:hint="eastAsia" w:ascii="仿宋" w:hAnsi="仿宋" w:eastAsia="仿宋" w:cs="仿宋"/>
          <w:sz w:val="32"/>
          <w:szCs w:val="32"/>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②工作任务科学性，指标2分，得2分。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我单位根据</w:t>
      </w:r>
      <w:r>
        <w:rPr>
          <w:rFonts w:hint="eastAsia" w:ascii="仿宋" w:hAnsi="仿宋" w:eastAsia="仿宋" w:cs="仿宋"/>
          <w:sz w:val="32"/>
          <w:szCs w:val="32"/>
          <w:highlight w:val="none"/>
          <w:lang w:val="en-US" w:eastAsia="zh-CN"/>
        </w:rPr>
        <w:t>相关</w:t>
      </w:r>
      <w:r>
        <w:rPr>
          <w:rFonts w:hint="eastAsia" w:ascii="仿宋" w:hAnsi="仿宋" w:eastAsia="仿宋" w:cs="仿宋"/>
          <w:sz w:val="32"/>
          <w:szCs w:val="32"/>
          <w:highlight w:val="none"/>
        </w:rPr>
        <w:t>文件要求，制定了</w:t>
      </w:r>
      <w:r>
        <w:rPr>
          <w:rFonts w:hint="eastAsia" w:ascii="仿宋" w:hAnsi="仿宋" w:cs="仿宋"/>
          <w:sz w:val="32"/>
          <w:szCs w:val="32"/>
          <w:highlight w:val="none"/>
          <w:lang w:val="en-US" w:eastAsia="zh-CN"/>
        </w:rPr>
        <w:t>7</w:t>
      </w:r>
      <w:r>
        <w:rPr>
          <w:rFonts w:hint="eastAsia" w:ascii="仿宋" w:hAnsi="仿宋" w:eastAsia="仿宋" w:cs="仿宋"/>
          <w:sz w:val="32"/>
          <w:szCs w:val="32"/>
          <w:highlight w:val="none"/>
        </w:rPr>
        <w:t>项主要工作任务，有明确的绩效目标，工作任务对应的预算项目有明确的绩效目标，绩效目标与部门职责目标、工作任务目标一致，能体现预算项目的产出和效果。</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③绩效指标合理性，指标2分，得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（2）预算和财务管理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①预算编制完整性，指标2分，得2分。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年预算编制按照历史金额作为编制依据，部门所有收入全部纳入部门预算，部门支出预算是统筹各类资金来源，全部纳入部门预算管理，预算编制明细到各类项，预算编制完整。</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②专项资金细化率，指标2分，得2分。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年的专项资金均已细化至各三级项目，专项资金细化率为100%。</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③预算调整率，指标2分，得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年我单位年初预算</w:t>
      </w:r>
      <w:r>
        <w:rPr>
          <w:rFonts w:hint="eastAsia" w:ascii="仿宋" w:hAnsi="仿宋" w:cs="仿宋"/>
          <w:sz w:val="32"/>
          <w:szCs w:val="32"/>
          <w:highlight w:val="none"/>
          <w:lang w:val="en-US" w:eastAsia="zh-CN"/>
        </w:rPr>
        <w:t>3014.77</w:t>
      </w:r>
      <w:r>
        <w:rPr>
          <w:rFonts w:hint="eastAsia" w:ascii="仿宋" w:hAnsi="仿宋" w:eastAsia="仿宋" w:cs="仿宋"/>
          <w:sz w:val="32"/>
          <w:szCs w:val="32"/>
          <w:highlight w:val="none"/>
        </w:rPr>
        <w:t>万元，全年总预算</w:t>
      </w:r>
      <w:r>
        <w:rPr>
          <w:rFonts w:hint="eastAsia" w:ascii="仿宋" w:hAnsi="仿宋" w:cs="仿宋"/>
          <w:sz w:val="32"/>
          <w:szCs w:val="32"/>
          <w:highlight w:val="none"/>
          <w:lang w:val="en-US" w:eastAsia="zh-CN"/>
        </w:rPr>
        <w:t>30</w:t>
      </w:r>
      <w:r>
        <w:rPr>
          <w:rFonts w:hint="eastAsia" w:ascii="仿宋" w:hAnsi="仿宋" w:cs="仿宋"/>
          <w:color w:val="000000" w:themeColor="text1"/>
          <w:sz w:val="32"/>
          <w:szCs w:val="32"/>
          <w:highlight w:val="none"/>
          <w:lang w:val="en-US" w:eastAsia="zh-CN"/>
          <w14:textFill>
            <w14:solidFill>
              <w14:schemeClr w14:val="tx1"/>
            </w14:solidFill>
          </w14:textFill>
        </w:rPr>
        <w:t>14.77</w:t>
      </w:r>
      <w:r>
        <w:rPr>
          <w:rFonts w:hint="eastAsia" w:ascii="仿宋" w:hAnsi="仿宋" w:eastAsia="仿宋" w:cs="仿宋"/>
          <w:color w:val="000000" w:themeColor="text1"/>
          <w:sz w:val="32"/>
          <w:szCs w:val="32"/>
          <w:highlight w:val="none"/>
          <w14:textFill>
            <w14:solidFill>
              <w14:schemeClr w14:val="tx1"/>
            </w14:solidFill>
          </w14:textFill>
        </w:rPr>
        <w:t>万元。</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④结转结余率，指标</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年我单位全年总预算</w:t>
      </w:r>
      <w:r>
        <w:rPr>
          <w:rFonts w:hint="eastAsia" w:ascii="仿宋" w:hAnsi="仿宋" w:cs="仿宋"/>
          <w:color w:val="000000" w:themeColor="text1"/>
          <w:sz w:val="32"/>
          <w:szCs w:val="32"/>
          <w:highlight w:val="none"/>
          <w:lang w:val="en-US" w:eastAsia="zh-CN"/>
          <w14:textFill>
            <w14:solidFill>
              <w14:schemeClr w14:val="tx1"/>
            </w14:solidFill>
          </w14:textFill>
        </w:rPr>
        <w:t>3014.77</w:t>
      </w:r>
      <w:r>
        <w:rPr>
          <w:rFonts w:hint="eastAsia" w:ascii="仿宋" w:hAnsi="仿宋" w:eastAsia="仿宋" w:cs="仿宋"/>
          <w:color w:val="000000" w:themeColor="text1"/>
          <w:sz w:val="32"/>
          <w:szCs w:val="32"/>
          <w:highlight w:val="none"/>
          <w14:textFill>
            <w14:solidFill>
              <w14:schemeClr w14:val="tx1"/>
            </w14:solidFill>
          </w14:textFill>
        </w:rPr>
        <w:t>万元，年底结余</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万元，结转结余率</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⑤“三公经费”控制率，指标1分，得1分。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w:t>
      </w: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年三公预算数</w:t>
      </w:r>
      <w:r>
        <w:rPr>
          <w:rFonts w:hint="eastAsia" w:ascii="仿宋" w:hAnsi="仿宋" w:cs="仿宋"/>
          <w:color w:val="000000" w:themeColor="text1"/>
          <w:sz w:val="32"/>
          <w:szCs w:val="32"/>
          <w:highlight w:val="none"/>
          <w:lang w:val="en-US" w:eastAsia="zh-CN"/>
          <w14:textFill>
            <w14:solidFill>
              <w14:schemeClr w14:val="tx1"/>
            </w14:solidFill>
          </w14:textFill>
        </w:rPr>
        <w:t>36435.92</w:t>
      </w:r>
      <w:r>
        <w:rPr>
          <w:rFonts w:hint="eastAsia" w:ascii="仿宋" w:hAnsi="仿宋" w:eastAsia="仿宋" w:cs="仿宋"/>
          <w:color w:val="000000" w:themeColor="text1"/>
          <w:sz w:val="32"/>
          <w:szCs w:val="32"/>
          <w:highlight w:val="none"/>
          <w14:textFill>
            <w14:solidFill>
              <w14:schemeClr w14:val="tx1"/>
            </w14:solidFill>
          </w14:textFill>
        </w:rPr>
        <w:t>元，</w:t>
      </w: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年三公经费执行数</w:t>
      </w:r>
      <w:r>
        <w:rPr>
          <w:rFonts w:hint="eastAsia" w:ascii="仿宋" w:hAnsi="仿宋" w:cs="仿宋"/>
          <w:color w:val="000000" w:themeColor="text1"/>
          <w:sz w:val="32"/>
          <w:szCs w:val="32"/>
          <w:highlight w:val="none"/>
          <w:lang w:val="en-US" w:eastAsia="zh-CN"/>
          <w14:textFill>
            <w14:solidFill>
              <w14:schemeClr w14:val="tx1"/>
            </w14:solidFill>
          </w14:textFill>
        </w:rPr>
        <w:t>36435.92</w:t>
      </w:r>
      <w:r>
        <w:rPr>
          <w:rFonts w:hint="eastAsia" w:ascii="仿宋" w:hAnsi="仿宋" w:eastAsia="仿宋" w:cs="仿宋"/>
          <w:color w:val="000000" w:themeColor="text1"/>
          <w:sz w:val="32"/>
          <w:szCs w:val="32"/>
          <w:highlight w:val="none"/>
          <w14:textFill>
            <w14:solidFill>
              <w14:schemeClr w14:val="tx1"/>
            </w14:solidFill>
          </w14:textFill>
        </w:rPr>
        <w:t>元，控制率</w:t>
      </w:r>
      <w:r>
        <w:rPr>
          <w:rFonts w:hint="eastAsia" w:ascii="仿宋" w:hAnsi="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⑥政府采购执行率，指标1分，得1分。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年计划采</w:t>
      </w:r>
      <w:r>
        <w:rPr>
          <w:rFonts w:hint="eastAsia" w:ascii="仿宋" w:hAnsi="仿宋" w:eastAsia="仿宋" w:cs="仿宋"/>
          <w:color w:val="000000" w:themeColor="text1"/>
          <w:sz w:val="32"/>
          <w:szCs w:val="32"/>
          <w:highlight w:val="none"/>
          <w14:textFill>
            <w14:solidFill>
              <w14:schemeClr w14:val="tx1"/>
            </w14:solidFill>
          </w14:textFill>
        </w:rPr>
        <w:t>购项目</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项。</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⑦决算真实性，指标1分，得1分。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年决算编制数据真实，决算报表数据与会计账簿数据一致。</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⑧资金使用合规性，指标2分，得2分。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我单位参照相关国家法律法规，在《内部控制基本制度》中制定了财务管理、资产管理</w:t>
      </w:r>
      <w:r>
        <w:rPr>
          <w:rFonts w:hint="eastAsia" w:ascii="仿宋" w:hAnsi="仿宋" w:eastAsia="仿宋" w:cs="仿宋"/>
          <w:sz w:val="32"/>
          <w:szCs w:val="32"/>
          <w:highlight w:val="none"/>
          <w:lang w:val="en-US" w:eastAsia="zh-CN"/>
        </w:rPr>
        <w:t>等</w:t>
      </w:r>
      <w:r>
        <w:rPr>
          <w:rFonts w:hint="eastAsia" w:ascii="仿宋" w:hAnsi="仿宋" w:eastAsia="仿宋" w:cs="仿宋"/>
          <w:sz w:val="32"/>
          <w:szCs w:val="32"/>
          <w:highlight w:val="none"/>
        </w:rPr>
        <w:t>相关管理办法，且针对专项资金制定了《专项资金管理办法》，《办法》符合国家财经法规</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财务法规和财务管理制度以及有关专项资金管理办法的规定；资金的拨付有完整的审批程序和手续；项目的重大开支需经过评估论证；符合部门预算批复的用途；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年度资金不存在截留支出情况；不存在挤占支出情况；不存在挪用支出情况；不存在虚列支出情况。</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⑨管理制度健全性，指标1分，得1分。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我单位根据相关</w:t>
      </w:r>
      <w:r>
        <w:rPr>
          <w:rFonts w:hint="eastAsia" w:ascii="仿宋" w:hAnsi="仿宋" w:eastAsia="仿宋" w:cs="仿宋"/>
          <w:sz w:val="32"/>
          <w:szCs w:val="32"/>
          <w:highlight w:val="none"/>
          <w:lang w:val="en-US" w:eastAsia="zh-CN"/>
        </w:rPr>
        <w:t>法</w:t>
      </w:r>
      <w:r>
        <w:rPr>
          <w:rFonts w:hint="eastAsia" w:ascii="仿宋" w:hAnsi="仿宋" w:eastAsia="仿宋" w:cs="仿宋"/>
          <w:sz w:val="32"/>
          <w:szCs w:val="32"/>
          <w:highlight w:val="none"/>
        </w:rPr>
        <w:t>律法规制度，制定了《专项资金管理办法》和完整的内控制度，且</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年我单位均未发生资金支出、工作执行方面的违规情况，管理制度有效。</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⑩预决算信息公开性，指标1分，得1分。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我单位认真落实《中华人民共和国政府信息公开条例》，按照政府信息“公开是原则，不公开是例外”的要求，做到“应公开，尽公开”，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年预算信息已在“</w:t>
      </w:r>
      <w:r>
        <w:rPr>
          <w:rFonts w:hint="eastAsia" w:ascii="仿宋" w:hAnsi="仿宋" w:cs="仿宋"/>
          <w:sz w:val="32"/>
          <w:szCs w:val="32"/>
          <w:highlight w:val="none"/>
          <w:lang w:eastAsia="zh-CN"/>
        </w:rPr>
        <w:t>太康县人民政府</w:t>
      </w:r>
      <w:r>
        <w:rPr>
          <w:rFonts w:hint="eastAsia" w:ascii="仿宋" w:hAnsi="仿宋" w:eastAsia="仿宋" w:cs="仿宋"/>
          <w:sz w:val="32"/>
          <w:szCs w:val="32"/>
          <w:highlight w:val="none"/>
        </w:rPr>
        <w:t>官网”公开，</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年决算信息待</w:t>
      </w:r>
      <w:r>
        <w:rPr>
          <w:rFonts w:hint="eastAsia" w:ascii="仿宋" w:hAnsi="仿宋" w:cs="仿宋"/>
          <w:sz w:val="32"/>
          <w:szCs w:val="32"/>
          <w:highlight w:val="none"/>
          <w:lang w:val="en-US" w:eastAsia="zh-CN"/>
        </w:rPr>
        <w:t>太康县</w:t>
      </w:r>
      <w:r>
        <w:rPr>
          <w:rFonts w:hint="eastAsia" w:ascii="仿宋" w:hAnsi="仿宋" w:eastAsia="仿宋" w:cs="仿宋"/>
          <w:sz w:val="32"/>
          <w:szCs w:val="32"/>
          <w:highlight w:val="none"/>
        </w:rPr>
        <w:t>财政局审批通过，按照要求，及时公开。</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⑪资产管理规范性</w:t>
      </w:r>
      <w:r>
        <w:rPr>
          <w:rFonts w:hint="eastAsia" w:ascii="仿宋" w:hAnsi="仿宋" w:eastAsia="仿宋" w:cs="仿宋"/>
          <w:sz w:val="32"/>
          <w:szCs w:val="32"/>
          <w:highlight w:val="none"/>
        </w:rPr>
        <w:t>，指标1分，得1分。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（3）绩效管理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①绩效监控完成率，指标2分，得</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sz w:val="32"/>
          <w:szCs w:val="32"/>
          <w:highlight w:val="none"/>
        </w:rPr>
        <w:t>部门绩效监控完成率=已完成绩效监控项目数量/部门项</w:t>
      </w:r>
      <w:r>
        <w:rPr>
          <w:rFonts w:hint="eastAsia" w:ascii="仿宋" w:hAnsi="仿宋" w:eastAsia="仿宋" w:cs="仿宋"/>
          <w:color w:val="000000" w:themeColor="text1"/>
          <w:sz w:val="32"/>
          <w:szCs w:val="32"/>
          <w:highlight w:val="none"/>
          <w14:textFill>
            <w14:solidFill>
              <w14:schemeClr w14:val="tx1"/>
            </w14:solidFill>
          </w14:textFill>
        </w:rPr>
        <w:t>目总数×100%</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年度我单位共实施</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项目，应开展效监控</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项目，实际开展绩效监控</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个项目。部门绩效监控完成率为</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②绩效自评完成率，指标2分，得2分。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绩效自评完成率=已完成评价项目数量/部门项目总数×100%</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年度我单位共实施</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项目，应开展绩效自评</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项目，实际开展绩效自评</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项目。部门绩效自评完成率为</w:t>
      </w:r>
      <w:r>
        <w:rPr>
          <w:rFonts w:hint="eastAsia" w:ascii="仿宋" w:hAnsi="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③部门绩效评价完成率，指标2分，得</w:t>
      </w:r>
      <w:r>
        <w:rPr>
          <w:rFonts w:hint="eastAsia" w:ascii="仿宋" w:hAnsi="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部门绩效评价完成率=已完成评价项目数量/部门重点绩效评价项目数×100%</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年度我单位应开展部门重点绩效评价</w:t>
      </w:r>
      <w:r>
        <w:rPr>
          <w:rFonts w:hint="eastAsia" w:ascii="仿宋" w:hAnsi="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个项目</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④评价结果应用率，指标</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评价结果应用率=评价提出的意见建议采纳数/提出的意见建议总数100%</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2021</w:t>
      </w:r>
      <w:r>
        <w:rPr>
          <w:rFonts w:hint="eastAsia" w:ascii="仿宋" w:hAnsi="仿宋" w:eastAsia="仿宋" w:cs="仿宋"/>
          <w:color w:val="000000" w:themeColor="text1"/>
          <w:sz w:val="32"/>
          <w:szCs w:val="32"/>
          <w:highlight w:val="none"/>
          <w14:textFill>
            <w14:solidFill>
              <w14:schemeClr w14:val="tx1"/>
            </w14:solidFill>
          </w14:textFill>
        </w:rPr>
        <w:t>年度我单位财政重点绩效评价未提出建议。评价结果应用率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p>
    <w:p>
      <w:pPr>
        <w:pStyle w:val="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2.产出指标完成况分析</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w:t>
      </w:r>
      <w:r>
        <w:rPr>
          <w:rFonts w:hint="eastAsia" w:ascii="仿宋" w:hAnsi="仿宋" w:eastAsia="仿宋" w:cs="仿宋"/>
          <w:color w:val="000000" w:themeColor="text1"/>
          <w:sz w:val="32"/>
          <w:szCs w:val="32"/>
          <w14:textFill>
            <w14:solidFill>
              <w14:schemeClr w14:val="tx1"/>
            </w14:solidFill>
          </w14:textFill>
        </w:rPr>
        <w:t>1）重点工作任务完成</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①重点工作1计划完成率：</w:t>
      </w:r>
      <w:r>
        <w:rPr>
          <w:rFonts w:hint="eastAsia" w:ascii="仿宋" w:hAnsi="仿宋" w:cs="仿宋"/>
          <w:color w:val="000000" w:themeColor="text1"/>
          <w:sz w:val="32"/>
          <w:szCs w:val="32"/>
          <w:highlight w:val="none"/>
          <w:lang w:eastAsia="zh-CN"/>
          <w14:textFill>
            <w14:solidFill>
              <w14:schemeClr w14:val="tx1"/>
            </w14:solidFill>
          </w14:textFill>
        </w:rPr>
        <w:t>完成了保障财政局工作经费任务</w:t>
      </w:r>
      <w:r>
        <w:rPr>
          <w:rFonts w:hint="eastAsia" w:ascii="仿宋" w:hAnsi="仿宋" w:eastAsia="仿宋" w:cs="仿宋"/>
          <w:color w:val="000000" w:themeColor="text1"/>
          <w:sz w:val="32"/>
          <w:szCs w:val="32"/>
          <w:highlight w:val="none"/>
          <w14:textFill>
            <w14:solidFill>
              <w14:schemeClr w14:val="tx1"/>
            </w14:solidFill>
          </w14:textFill>
        </w:rPr>
        <w:t>，指标</w:t>
      </w:r>
      <w:r>
        <w:rPr>
          <w:rFonts w:hint="eastAsia" w:ascii="仿宋" w:hAnsi="仿宋" w:cs="仿宋"/>
          <w:color w:val="000000" w:themeColor="text1"/>
          <w:sz w:val="32"/>
          <w:szCs w:val="32"/>
          <w:highlight w:val="none"/>
          <w:lang w:val="en-US" w:eastAsia="zh-CN"/>
          <w14:textFill>
            <w14:solidFill>
              <w14:schemeClr w14:val="tx1"/>
            </w14:solidFill>
          </w14:textFill>
        </w:rPr>
        <w:t>12</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cs="仿宋"/>
          <w:color w:val="000000" w:themeColor="text1"/>
          <w:sz w:val="32"/>
          <w:szCs w:val="32"/>
          <w:highlight w:val="none"/>
          <w:lang w:val="en-US" w:eastAsia="zh-CN"/>
          <w14:textFill>
            <w14:solidFill>
              <w14:schemeClr w14:val="tx1"/>
            </w14:solidFill>
          </w14:textFill>
        </w:rPr>
        <w:t>12</w:t>
      </w:r>
      <w:r>
        <w:rPr>
          <w:rFonts w:hint="eastAsia" w:ascii="仿宋" w:hAnsi="仿宋" w:eastAsia="仿宋" w:cs="仿宋"/>
          <w:color w:val="000000" w:themeColor="text1"/>
          <w:sz w:val="32"/>
          <w:szCs w:val="32"/>
          <w:highlight w:val="none"/>
          <w14:textFill>
            <w14:solidFill>
              <w14:schemeClr w14:val="tx1"/>
            </w14:solidFill>
          </w14:textFill>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重点工作1</w:t>
      </w:r>
      <w:r>
        <w:rPr>
          <w:rFonts w:hint="eastAsia" w:ascii="仿宋" w:hAnsi="仿宋" w:eastAsia="仿宋" w:cs="仿宋"/>
          <w:color w:val="000000" w:themeColor="text1"/>
          <w:sz w:val="32"/>
          <w:szCs w:val="32"/>
          <w:highlight w:val="none"/>
          <w:lang w:eastAsia="zh-CN"/>
          <w14:textFill>
            <w14:solidFill>
              <w14:schemeClr w14:val="tx1"/>
            </w14:solidFill>
          </w14:textFill>
        </w:rPr>
        <w:t>实际</w:t>
      </w:r>
      <w:r>
        <w:rPr>
          <w:rFonts w:hint="eastAsia" w:ascii="仿宋" w:hAnsi="仿宋" w:eastAsia="仿宋" w:cs="仿宋"/>
          <w:color w:val="000000" w:themeColor="text1"/>
          <w:sz w:val="32"/>
          <w:szCs w:val="32"/>
          <w:highlight w:val="none"/>
          <w14:textFill>
            <w14:solidFill>
              <w14:schemeClr w14:val="tx1"/>
            </w14:solidFill>
          </w14:textFill>
        </w:rPr>
        <w:t>完成率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②重点工作2计划完成率：</w:t>
      </w:r>
      <w:r>
        <w:rPr>
          <w:rFonts w:hint="eastAsia" w:ascii="仿宋" w:hAnsi="仿宋" w:cs="仿宋"/>
          <w:color w:val="000000" w:themeColor="text1"/>
          <w:sz w:val="32"/>
          <w:szCs w:val="32"/>
          <w:highlight w:val="none"/>
          <w:lang w:eastAsia="zh-CN"/>
          <w14:textFill>
            <w14:solidFill>
              <w14:schemeClr w14:val="tx1"/>
            </w14:solidFill>
          </w14:textFill>
        </w:rPr>
        <w:t>完成了保障财政所工作经费任务，</w:t>
      </w:r>
      <w:r>
        <w:rPr>
          <w:rFonts w:hint="eastAsia" w:ascii="仿宋" w:hAnsi="仿宋" w:eastAsia="仿宋" w:cs="仿宋"/>
          <w:color w:val="000000" w:themeColor="text1"/>
          <w:sz w:val="32"/>
          <w:szCs w:val="32"/>
          <w:highlight w:val="none"/>
          <w14:textFill>
            <w14:solidFill>
              <w14:schemeClr w14:val="tx1"/>
            </w14:solidFill>
          </w14:textFill>
        </w:rPr>
        <w:t>指标</w:t>
      </w:r>
      <w:r>
        <w:rPr>
          <w:rFonts w:hint="eastAsia" w:ascii="仿宋" w:hAnsi="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2分，得</w:t>
      </w:r>
      <w:r>
        <w:rPr>
          <w:rFonts w:hint="eastAsia" w:ascii="仿宋" w:hAnsi="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2分。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重点工作2</w:t>
      </w:r>
      <w:r>
        <w:rPr>
          <w:rFonts w:hint="eastAsia" w:ascii="仿宋" w:hAnsi="仿宋" w:eastAsia="仿宋" w:cs="仿宋"/>
          <w:sz w:val="32"/>
          <w:szCs w:val="32"/>
          <w:highlight w:val="none"/>
          <w:lang w:eastAsia="zh-CN"/>
        </w:rPr>
        <w:t>实际</w:t>
      </w:r>
      <w:r>
        <w:rPr>
          <w:rFonts w:hint="eastAsia" w:ascii="仿宋" w:hAnsi="仿宋" w:eastAsia="仿宋" w:cs="仿宋"/>
          <w:sz w:val="32"/>
          <w:szCs w:val="32"/>
          <w:highlight w:val="none"/>
        </w:rPr>
        <w:t>完成率100%</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年度重点工作完成情况见附件1：部门整体支出自评表</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（2）履职目标实现</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①年度工作目标1实现率：</w:t>
      </w:r>
      <w:r>
        <w:rPr>
          <w:rFonts w:hint="eastAsia" w:hAnsi="Calibri" w:cs="仿宋_GB2312"/>
          <w:sz w:val="32"/>
          <w:szCs w:val="32"/>
          <w:highlight w:val="none"/>
          <w:lang w:val="en-US" w:eastAsia="zh-CN"/>
        </w:rPr>
        <w:t>完善宏观调控体系，创新调控方式，构建发展规划、财政、金融等政策协调和工作协同机制，强化经济监测预测预警能力，建立健全重大问题研究和政策储备工作机制，增强宏观调控前瞻性、针对性、协同性。</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年度工作目标1实现率100%</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②年度工作目标2实现率：</w:t>
      </w:r>
      <w:r>
        <w:rPr>
          <w:rFonts w:hint="eastAsia" w:ascii="仿宋" w:hAnsi="仿宋" w:eastAsia="仿宋" w:cs="仿宋"/>
          <w:sz w:val="32"/>
          <w:szCs w:val="32"/>
          <w:highlight w:val="none"/>
          <w:lang w:val="en-US" w:eastAsia="zh-CN"/>
        </w:rPr>
        <w:t>加快建立现代化财政制度，推进财政事权和支出责任划分改革，理顺县乡（镇）财政关系。</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年度工作目标2实现率100%</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③年度工作目标3实现率：</w:t>
      </w:r>
      <w:r>
        <w:rPr>
          <w:rFonts w:hint="eastAsia" w:ascii="仿宋" w:hAnsi="仿宋" w:eastAsia="仿宋" w:cs="仿宋"/>
          <w:sz w:val="32"/>
          <w:szCs w:val="32"/>
          <w:highlight w:val="none"/>
          <w:lang w:val="en-US" w:eastAsia="zh-CN"/>
        </w:rPr>
        <w:t>完善转移支付制度，优化转移支付分类，规范转移支付项目，增强县乡（镇）统筹能力。</w:t>
      </w:r>
      <w:r>
        <w:rPr>
          <w:rFonts w:hint="eastAsia" w:ascii="仿宋" w:hAnsi="仿宋" w:eastAsia="仿宋" w:cs="仿宋"/>
          <w:sz w:val="32"/>
          <w:szCs w:val="32"/>
          <w:highlight w:val="none"/>
        </w:rPr>
        <w:t>指标</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年度工作目标3实现率100%</w:t>
      </w:r>
      <w:r>
        <w:rPr>
          <w:rFonts w:hint="eastAsia" w:ascii="仿宋" w:hAnsi="仿宋" w:eastAsia="仿宋" w:cs="仿宋"/>
          <w:sz w:val="32"/>
          <w:szCs w:val="32"/>
          <w:highlight w:val="none"/>
          <w:lang w:eastAsia="zh-CN"/>
        </w:rPr>
        <w:t>。</w:t>
      </w:r>
    </w:p>
    <w:p>
      <w:pPr>
        <w:pStyle w:val="5"/>
        <w:rPr>
          <w:rFonts w:hint="eastAsia" w:ascii="仿宋" w:hAnsi="仿宋" w:eastAsia="仿宋" w:cs="仿宋"/>
          <w:sz w:val="32"/>
          <w:szCs w:val="32"/>
          <w:highlight w:val="none"/>
        </w:rPr>
      </w:pPr>
      <w:r>
        <w:rPr>
          <w:rFonts w:hint="eastAsia" w:ascii="仿宋" w:hAnsi="仿宋" w:eastAsia="仿宋" w:cs="仿宋"/>
          <w:sz w:val="32"/>
          <w:szCs w:val="32"/>
          <w:highlight w:val="none"/>
        </w:rPr>
        <w:t>④年度工作目标4实现率：</w:t>
      </w:r>
      <w:r>
        <w:rPr>
          <w:rFonts w:hint="eastAsia" w:hAnsi="Calibri" w:cs="仿宋_GB2312"/>
          <w:sz w:val="32"/>
          <w:szCs w:val="32"/>
          <w:highlight w:val="none"/>
          <w:lang w:val="en-US" w:eastAsia="zh-CN"/>
        </w:rPr>
        <w:t>调动政府和市场两个积极性，规范运用政府和社会资本合作，深化财政性涉企资金基金化改革，健全融资担保体系，统筹发挥政府采购等政策功能，综合运用财政贴息、奖补、风险补偿等方式，引导金融机构和社会资本更好服务我县经济社会发展。</w:t>
      </w:r>
      <w:r>
        <w:rPr>
          <w:rFonts w:hint="eastAsia" w:ascii="仿宋" w:hAnsi="仿宋" w:eastAsia="仿宋" w:cs="仿宋"/>
          <w:color w:val="000000"/>
          <w:kern w:val="0"/>
          <w:sz w:val="31"/>
          <w:szCs w:val="31"/>
          <w:highlight w:val="none"/>
          <w:lang w:val="en-US" w:eastAsia="zh-CN" w:bidi="ar"/>
        </w:rPr>
        <w:t xml:space="preserve"> </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指标</w:t>
      </w:r>
      <w:r>
        <w:rPr>
          <w:rFonts w:hint="eastAsia" w:ascii="仿宋" w:hAnsi="仿宋" w:cs="仿宋"/>
          <w:sz w:val="32"/>
          <w:szCs w:val="32"/>
          <w:highlight w:val="none"/>
          <w:lang w:val="en-US" w:eastAsia="zh-CN"/>
        </w:rPr>
        <w:t>3</w:t>
      </w:r>
      <w:r>
        <w:rPr>
          <w:rFonts w:hint="eastAsia" w:ascii="仿宋" w:hAnsi="仿宋" w:eastAsia="仿宋" w:cs="仿宋"/>
          <w:sz w:val="32"/>
          <w:szCs w:val="32"/>
          <w:highlight w:val="none"/>
        </w:rPr>
        <w:t>分，得</w:t>
      </w:r>
      <w:r>
        <w:rPr>
          <w:rFonts w:hint="eastAsia" w:ascii="仿宋" w:hAnsi="仿宋" w:cs="仿宋"/>
          <w:sz w:val="32"/>
          <w:szCs w:val="32"/>
          <w:highlight w:val="none"/>
          <w:lang w:val="en-US" w:eastAsia="zh-CN"/>
        </w:rPr>
        <w:t>3</w:t>
      </w:r>
      <w:r>
        <w:rPr>
          <w:rFonts w:hint="eastAsia" w:ascii="仿宋" w:hAnsi="仿宋" w:eastAsia="仿宋" w:cs="仿宋"/>
          <w:sz w:val="32"/>
          <w:szCs w:val="32"/>
          <w:highlight w:val="none"/>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年度工作目标4实现率100%</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年度工作目标完成情况见附件1：部门整体支出自评表</w:t>
      </w:r>
      <w:r>
        <w:rPr>
          <w:rFonts w:hint="eastAsia" w:ascii="仿宋" w:hAnsi="仿宋" w:eastAsia="仿宋" w:cs="仿宋"/>
          <w:sz w:val="32"/>
          <w:szCs w:val="32"/>
          <w:highlight w:val="none"/>
          <w:lang w:eastAsia="zh-CN"/>
        </w:rPr>
        <w:t>。</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3.效益指标完成情况分析</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（1）履职社会效益</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cs="仿宋"/>
          <w:sz w:val="32"/>
          <w:szCs w:val="32"/>
          <w:highlight w:val="none"/>
          <w:lang w:eastAsia="zh-CN"/>
        </w:rPr>
        <w:t>保障财政工作正常运转</w:t>
      </w:r>
      <w:r>
        <w:rPr>
          <w:rFonts w:hint="eastAsia" w:ascii="仿宋" w:hAnsi="仿宋" w:eastAsia="仿宋" w:cs="仿宋"/>
          <w:sz w:val="32"/>
          <w:szCs w:val="32"/>
          <w:highlight w:val="none"/>
        </w:rPr>
        <w:t>，指标</w:t>
      </w:r>
      <w:r>
        <w:rPr>
          <w:rFonts w:hint="eastAsia" w:ascii="仿宋" w:hAnsi="仿宋" w:cs="仿宋"/>
          <w:sz w:val="32"/>
          <w:szCs w:val="32"/>
          <w:highlight w:val="none"/>
          <w:lang w:val="en-US" w:eastAsia="zh-CN"/>
        </w:rPr>
        <w:t>10</w:t>
      </w:r>
      <w:r>
        <w:rPr>
          <w:rFonts w:hint="eastAsia" w:ascii="仿宋" w:hAnsi="仿宋" w:eastAsia="仿宋" w:cs="仿宋"/>
          <w:sz w:val="32"/>
          <w:szCs w:val="32"/>
          <w:highlight w:val="none"/>
        </w:rPr>
        <w:t>分，得8分。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sz w:val="32"/>
          <w:szCs w:val="32"/>
          <w:highlight w:val="none"/>
        </w:rPr>
        <w:t>根据实地核查与社会调查数据结果，此次社会调查共</w:t>
      </w:r>
      <w:r>
        <w:rPr>
          <w:rFonts w:hint="eastAsia" w:ascii="仿宋" w:hAnsi="仿宋" w:cs="仿宋"/>
          <w:sz w:val="32"/>
          <w:szCs w:val="32"/>
          <w:highlight w:val="none"/>
          <w:lang w:val="en-US" w:eastAsia="zh-CN"/>
        </w:rPr>
        <w:t>90</w:t>
      </w:r>
      <w:r>
        <w:rPr>
          <w:rFonts w:hint="eastAsia" w:ascii="仿宋" w:hAnsi="仿宋" w:eastAsia="仿宋" w:cs="仿宋"/>
          <w:color w:val="000000" w:themeColor="text1"/>
          <w:sz w:val="32"/>
          <w:szCs w:val="32"/>
          <w:highlight w:val="none"/>
          <w14:textFill>
            <w14:solidFill>
              <w14:schemeClr w14:val="tx1"/>
            </w14:solidFill>
          </w14:textFill>
        </w:rPr>
        <w:t>人，</w:t>
      </w:r>
      <w:r>
        <w:rPr>
          <w:rFonts w:hint="eastAsia" w:ascii="仿宋" w:hAnsi="仿宋" w:cs="仿宋"/>
          <w:color w:val="000000" w:themeColor="text1"/>
          <w:sz w:val="32"/>
          <w:szCs w:val="32"/>
          <w:highlight w:val="none"/>
          <w:lang w:val="en-US" w:eastAsia="zh-CN"/>
          <w14:textFill>
            <w14:solidFill>
              <w14:schemeClr w14:val="tx1"/>
            </w14:solidFill>
          </w14:textFill>
        </w:rPr>
        <w:t>88</w:t>
      </w:r>
      <w:r>
        <w:rPr>
          <w:rFonts w:hint="eastAsia" w:ascii="仿宋" w:hAnsi="仿宋" w:eastAsia="仿宋" w:cs="仿宋"/>
          <w:color w:val="000000" w:themeColor="text1"/>
          <w:sz w:val="32"/>
          <w:szCs w:val="32"/>
          <w:highlight w:val="none"/>
          <w14:textFill>
            <w14:solidFill>
              <w14:schemeClr w14:val="tx1"/>
            </w14:solidFill>
          </w14:textFill>
        </w:rPr>
        <w:t>人认为非常满意和比较满意，占比</w:t>
      </w:r>
      <w:r>
        <w:rPr>
          <w:rFonts w:hint="eastAsia" w:ascii="仿宋" w:hAnsi="仿宋" w:cs="仿宋"/>
          <w:color w:val="000000" w:themeColor="text1"/>
          <w:sz w:val="32"/>
          <w:szCs w:val="32"/>
          <w:highlight w:val="none"/>
          <w:lang w:val="en-US" w:eastAsia="zh-CN"/>
          <w14:textFill>
            <w14:solidFill>
              <w14:schemeClr w14:val="tx1"/>
            </w14:solidFill>
          </w14:textFill>
        </w:rPr>
        <w:t>96%</w:t>
      </w:r>
      <w:r>
        <w:rPr>
          <w:rFonts w:hint="eastAsia" w:ascii="仿宋" w:hAnsi="仿宋" w:eastAsia="仿宋" w:cs="仿宋"/>
          <w:color w:val="000000" w:themeColor="text1"/>
          <w:sz w:val="32"/>
          <w:szCs w:val="32"/>
          <w:highlight w:val="none"/>
          <w14:textFill>
            <w14:solidFill>
              <w14:schemeClr w14:val="tx1"/>
            </w14:solidFill>
          </w14:textFill>
        </w:rPr>
        <w:t>。根据评分规则，该指标得8分。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cs="仿宋"/>
          <w:color w:val="000000" w:themeColor="text1"/>
          <w:sz w:val="32"/>
          <w:szCs w:val="32"/>
          <w:highlight w:val="none"/>
          <w:lang w:val="en-US" w:eastAsia="zh-CN"/>
          <w14:textFill>
            <w14:solidFill>
              <w14:schemeClr w14:val="tx1"/>
            </w14:solidFill>
          </w14:textFill>
        </w:rPr>
      </w:pPr>
      <w:r>
        <w:rPr>
          <w:rFonts w:hint="eastAsia" w:ascii="仿宋" w:hAnsi="仿宋" w:cs="仿宋"/>
          <w:color w:val="000000" w:themeColor="text1"/>
          <w:sz w:val="32"/>
          <w:szCs w:val="32"/>
          <w:highlight w:val="none"/>
          <w:lang w:eastAsia="zh-CN"/>
          <w14:textFill>
            <w14:solidFill>
              <w14:schemeClr w14:val="tx1"/>
            </w14:solidFill>
          </w14:textFill>
        </w:rPr>
        <w:t>提高服务质量，指标</w:t>
      </w:r>
      <w:r>
        <w:rPr>
          <w:rFonts w:hint="eastAsia" w:ascii="仿宋" w:hAnsi="仿宋" w:cs="仿宋"/>
          <w:color w:val="000000" w:themeColor="text1"/>
          <w:sz w:val="32"/>
          <w:szCs w:val="32"/>
          <w:highlight w:val="none"/>
          <w:lang w:val="en-US" w:eastAsia="zh-CN"/>
          <w14:textFill>
            <w14:solidFill>
              <w14:schemeClr w14:val="tx1"/>
            </w14:solidFill>
          </w14:textFill>
        </w:rPr>
        <w:t>10分，得10分。</w:t>
      </w:r>
    </w:p>
    <w:p>
      <w:pPr>
        <w:pStyle w:val="19"/>
        <w:pageBreakBefore w:val="0"/>
        <w:widowControl w:val="0"/>
        <w:kinsoku/>
        <w:wordWrap/>
        <w:overflowPunct/>
        <w:topLinePunct w:val="0"/>
        <w:autoSpaceDE/>
        <w:autoSpaceDN/>
        <w:bidi w:val="0"/>
        <w:spacing w:line="360" w:lineRule="auto"/>
        <w:textAlignment w:val="auto"/>
        <w:rPr>
          <w:rFonts w:hint="default" w:ascii="仿宋" w:hAnsi="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根据实地核查与社会调查数据结果，此次社会调查共</w:t>
      </w:r>
      <w:r>
        <w:rPr>
          <w:rFonts w:hint="eastAsia" w:ascii="仿宋" w:hAnsi="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人，</w:t>
      </w:r>
      <w:r>
        <w:rPr>
          <w:rFonts w:hint="eastAsia" w:ascii="仿宋" w:hAnsi="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人认为非常满意和比较满意，占比</w:t>
      </w:r>
      <w:r>
        <w:rPr>
          <w:rFonts w:hint="eastAsia" w:ascii="仿宋" w:hAnsi="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。根据评分规则，该指标得</w:t>
      </w:r>
      <w:r>
        <w:rPr>
          <w:rFonts w:hint="eastAsia" w:ascii="仿宋" w:hAnsi="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yellow"/>
        </w:rPr>
      </w:pP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cs="仿宋"/>
          <w:color w:val="000000" w:themeColor="text1"/>
          <w:sz w:val="32"/>
          <w:szCs w:val="32"/>
          <w:highlight w:val="none"/>
          <w:lang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满意度，指标10分，得10分。</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cs="仿宋"/>
          <w:color w:val="000000" w:themeColor="text1"/>
          <w:sz w:val="32"/>
          <w:szCs w:val="32"/>
          <w:highlight w:val="none"/>
          <w:lang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满意度问卷共发放</w:t>
      </w:r>
      <w:r>
        <w:rPr>
          <w:rFonts w:hint="eastAsia" w:ascii="仿宋" w:hAnsi="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份，回收问卷</w:t>
      </w:r>
      <w:r>
        <w:rPr>
          <w:rFonts w:hint="eastAsia" w:ascii="仿宋" w:hAnsi="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cs="仿宋"/>
          <w:color w:val="000000" w:themeColor="text1"/>
          <w:sz w:val="32"/>
          <w:szCs w:val="32"/>
          <w:highlight w:val="none"/>
          <w:lang w:val="en-US" w:eastAsia="zh-CN"/>
          <w14:textFill>
            <w14:solidFill>
              <w14:schemeClr w14:val="tx1"/>
            </w14:solidFill>
          </w14:textFill>
        </w:rPr>
        <w:t>90</w:t>
      </w:r>
      <w:r>
        <w:rPr>
          <w:rFonts w:hint="eastAsia" w:ascii="仿宋" w:hAnsi="仿宋" w:eastAsia="仿宋" w:cs="仿宋"/>
          <w:color w:val="000000" w:themeColor="text1"/>
          <w:sz w:val="32"/>
          <w:szCs w:val="32"/>
          <w:highlight w:val="none"/>
          <w14:textFill>
            <w14:solidFill>
              <w14:schemeClr w14:val="tx1"/>
            </w14:solidFill>
          </w14:textFill>
        </w:rPr>
        <w:t>份，问卷有效率100%。</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据统</w:t>
      </w:r>
      <w:r>
        <w:rPr>
          <w:rFonts w:hint="eastAsia" w:ascii="仿宋" w:hAnsi="仿宋" w:eastAsia="仿宋" w:cs="仿宋"/>
          <w:color w:val="000000" w:themeColor="text1"/>
          <w:sz w:val="32"/>
          <w:szCs w:val="32"/>
          <w:highlight w:val="none"/>
          <w:lang w:val="en-US" w:eastAsia="zh-CN"/>
          <w14:textFill>
            <w14:solidFill>
              <w14:schemeClr w14:val="tx1"/>
            </w14:solidFill>
          </w14:textFill>
        </w:rPr>
        <w:t>计</w:t>
      </w:r>
      <w:r>
        <w:rPr>
          <w:rFonts w:hint="eastAsia" w:ascii="仿宋" w:hAnsi="仿宋" w:cs="仿宋"/>
          <w:color w:val="000000" w:themeColor="text1"/>
          <w:sz w:val="32"/>
          <w:szCs w:val="32"/>
          <w:highlight w:val="none"/>
          <w:lang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总体满意度为</w:t>
      </w:r>
      <w:r>
        <w:rPr>
          <w:rFonts w:hint="eastAsia" w:ascii="仿宋" w:hAnsi="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，根据评分规则，该指标得10分。</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pPr>
      <w:bookmarkStart w:id="25" w:name="_Toc22457"/>
      <w:r>
        <w:rPr>
          <w:rFonts w:hint="eastAsia" w:ascii="仿宋" w:hAnsi="仿宋" w:eastAsia="仿宋" w:cs="仿宋"/>
          <w:color w:val="auto"/>
          <w:sz w:val="32"/>
          <w:szCs w:val="32"/>
        </w:rPr>
        <w:t>五、发现的主要问题和改进措施</w:t>
      </w:r>
      <w:bookmarkEnd w:id="25"/>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通过本次绩效自评，我单位在预算支出管理方面还存在以下几方面</w:t>
      </w:r>
      <w:r>
        <w:rPr>
          <w:rFonts w:hint="eastAsia" w:ascii="仿宋" w:hAnsi="仿宋" w:eastAsia="仿宋" w:cs="仿宋"/>
          <w:sz w:val="32"/>
          <w:szCs w:val="32"/>
          <w:lang w:val="en-US" w:eastAsia="zh-CN"/>
        </w:rPr>
        <w:t>的</w:t>
      </w:r>
      <w:r>
        <w:rPr>
          <w:rFonts w:hint="eastAsia" w:ascii="仿宋" w:hAnsi="仿宋" w:eastAsia="仿宋" w:cs="仿宋"/>
          <w:sz w:val="32"/>
          <w:szCs w:val="32"/>
        </w:rPr>
        <w:t>问题：</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26" w:name="_Toc1104"/>
      <w:r>
        <w:rPr>
          <w:rFonts w:hint="eastAsia" w:ascii="仿宋" w:hAnsi="仿宋" w:eastAsia="仿宋" w:cs="仿宋"/>
          <w:sz w:val="32"/>
          <w:szCs w:val="32"/>
        </w:rPr>
        <w:t>（一）发现的主要问题</w:t>
      </w:r>
      <w:bookmarkEnd w:id="26"/>
    </w:p>
    <w:p>
      <w:pPr>
        <w:keepNext w:val="0"/>
        <w:keepLines w:val="0"/>
        <w:widowControl/>
        <w:suppressLineNumbers w:val="0"/>
        <w:ind w:firstLine="620" w:firstLineChars="200"/>
        <w:jc w:val="left"/>
      </w:pPr>
      <w:bookmarkStart w:id="27" w:name="_Toc17027"/>
      <w:r>
        <w:rPr>
          <w:rFonts w:hint="eastAsia" w:ascii="仿宋" w:hAnsi="仿宋" w:eastAsia="仿宋" w:cs="仿宋"/>
          <w:color w:val="000000"/>
          <w:kern w:val="0"/>
          <w:sz w:val="31"/>
          <w:szCs w:val="31"/>
          <w:lang w:val="en-US" w:eastAsia="zh-CN" w:bidi="ar"/>
        </w:rPr>
        <w:t xml:space="preserve">1.预算编制及绩效目标设立不够明确、细化和量化。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2.资金使用效益有待进一步提高。 </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lang w:val="zh-CN"/>
        </w:rPr>
      </w:pPr>
      <w:r>
        <w:rPr>
          <w:rFonts w:hint="eastAsia" w:ascii="仿宋" w:hAnsi="仿宋" w:eastAsia="仿宋" w:cs="仿宋"/>
          <w:sz w:val="32"/>
          <w:szCs w:val="32"/>
        </w:rPr>
        <w:t>（二）</w:t>
      </w:r>
      <w:r>
        <w:rPr>
          <w:rFonts w:hint="eastAsia" w:ascii="仿宋" w:hAnsi="仿宋" w:eastAsia="仿宋" w:cs="仿宋"/>
          <w:sz w:val="32"/>
          <w:szCs w:val="32"/>
          <w:lang w:val="zh-CN"/>
        </w:rPr>
        <w:t>下一步改进措施</w:t>
      </w:r>
      <w:bookmarkEnd w:id="27"/>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lang w:val="zh-CN"/>
        </w:rPr>
      </w:pPr>
      <w:r>
        <w:rPr>
          <w:rFonts w:hint="eastAsia" w:ascii="仿宋" w:hAnsi="仿宋" w:eastAsia="仿宋" w:cs="仿宋"/>
          <w:sz w:val="32"/>
          <w:szCs w:val="32"/>
          <w:lang w:val="zh-CN"/>
        </w:rPr>
        <w:t>根据今后的工作任务和要求，吸取前年工作的经验，明确努力方向，加强绩效评价在目标上的设定，完善绩效评价内容。</w:t>
      </w:r>
    </w:p>
    <w:p>
      <w:pPr>
        <w:keepNext w:val="0"/>
        <w:keepLines w:val="0"/>
        <w:widowControl/>
        <w:suppressLineNumbers w:val="0"/>
        <w:ind w:firstLine="620" w:firstLineChars="200"/>
        <w:jc w:val="left"/>
      </w:pPr>
      <w:bookmarkStart w:id="28" w:name="_Toc23218"/>
      <w:bookmarkStart w:id="29" w:name="_Toc4527"/>
      <w:r>
        <w:rPr>
          <w:rFonts w:hint="eastAsia" w:ascii="仿宋" w:hAnsi="仿宋" w:eastAsia="仿宋" w:cs="仿宋"/>
          <w:color w:val="000000"/>
          <w:kern w:val="0"/>
          <w:sz w:val="31"/>
          <w:szCs w:val="31"/>
          <w:lang w:val="en-US" w:eastAsia="zh-CN" w:bidi="ar"/>
        </w:rPr>
        <w:t xml:space="preserve">1.进一步加强预算编制工作。根据本单位业务开展需要，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逐项做出合理的可执行的预算计划。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2.加强绩效评价业务培训。部门整体绩效评价工作是一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项长期性的工作，专业性强，工作量大，进一步加强开展部门领导及经办人员相关的政策、业务工作培训，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组织开展部门之间、单位之间的经验交流，切实推进绩效评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价工作的开展。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3.切实做好预算财务分析常态化。定期做好预算支出财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务分析，做好部门整体支出评价工作。 </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（三）绩效自评结果应用</w:t>
      </w:r>
      <w:bookmarkEnd w:id="28"/>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1.以绩效评价结果应用为目标，坚持报告与公开相结合</w:t>
      </w:r>
      <w:bookmarkEnd w:id="29"/>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为加强绩效评价结果的应用，根据</w:t>
      </w:r>
      <w:r>
        <w:rPr>
          <w:rFonts w:hint="eastAsia" w:ascii="仿宋" w:hAnsi="仿宋" w:eastAsia="仿宋" w:cs="仿宋"/>
          <w:sz w:val="32"/>
          <w:szCs w:val="32"/>
          <w:highlight w:val="none"/>
          <w:lang w:val="en-US" w:eastAsia="zh-CN"/>
        </w:rPr>
        <w:t>太康县</w:t>
      </w:r>
      <w:r>
        <w:rPr>
          <w:rFonts w:hint="eastAsia" w:ascii="仿宋" w:hAnsi="仿宋" w:eastAsia="仿宋" w:cs="仿宋"/>
          <w:sz w:val="32"/>
          <w:szCs w:val="32"/>
          <w:highlight w:val="none"/>
        </w:rPr>
        <w:t>财政局</w:t>
      </w:r>
      <w:r>
        <w:rPr>
          <w:rFonts w:hint="eastAsia" w:ascii="仿宋" w:hAnsi="仿宋" w:eastAsia="仿宋" w:cs="仿宋"/>
          <w:sz w:val="32"/>
          <w:szCs w:val="32"/>
          <w:highlight w:val="none"/>
          <w:lang w:val="en-US" w:eastAsia="zh-CN"/>
        </w:rPr>
        <w:t>《关于开展2021年度部门整体支出绩效自评工作的通知》</w:t>
      </w:r>
      <w:r>
        <w:rPr>
          <w:rFonts w:hint="eastAsia" w:ascii="仿宋" w:hAnsi="仿宋" w:eastAsia="仿宋" w:cs="仿宋"/>
          <w:sz w:val="32"/>
          <w:szCs w:val="32"/>
          <w:highlight w:val="none"/>
        </w:rPr>
        <w:t>文件的要求，</w:t>
      </w:r>
      <w:r>
        <w:rPr>
          <w:rFonts w:hint="eastAsia" w:ascii="仿宋" w:hAnsi="仿宋" w:eastAsia="仿宋" w:cs="仿宋"/>
          <w:sz w:val="32"/>
          <w:szCs w:val="32"/>
          <w:highlight w:val="none"/>
          <w:lang w:eastAsia="zh-CN"/>
        </w:rPr>
        <w:t>2021</w:t>
      </w:r>
      <w:r>
        <w:rPr>
          <w:rFonts w:hint="eastAsia" w:ascii="仿宋" w:hAnsi="仿宋" w:eastAsia="仿宋" w:cs="仿宋"/>
          <w:sz w:val="32"/>
          <w:szCs w:val="32"/>
          <w:highlight w:val="none"/>
        </w:rPr>
        <w:t>年度局部门整体绩效自评报告及自评表按时上报财政局，将绩效评价结果应用于下一年的预算编制。</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b/>
          <w:bCs/>
          <w:sz w:val="32"/>
          <w:szCs w:val="32"/>
          <w:highlight w:val="none"/>
        </w:rPr>
      </w:pPr>
      <w:bookmarkStart w:id="30" w:name="_Toc1950"/>
      <w:r>
        <w:rPr>
          <w:rFonts w:hint="eastAsia" w:ascii="仿宋" w:hAnsi="仿宋" w:eastAsia="仿宋" w:cs="仿宋"/>
          <w:b/>
          <w:bCs/>
          <w:sz w:val="32"/>
          <w:szCs w:val="32"/>
          <w:highlight w:val="none"/>
        </w:rPr>
        <w:t>2</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以绩效评价反馈问题为导向，提出整改的思路和办法</w:t>
      </w:r>
      <w:bookmarkEnd w:id="30"/>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lang w:val="zh-CN"/>
        </w:rPr>
      </w:pPr>
      <w:r>
        <w:rPr>
          <w:rFonts w:hint="eastAsia" w:ascii="仿宋" w:hAnsi="仿宋" w:eastAsia="仿宋" w:cs="仿宋"/>
          <w:sz w:val="32"/>
          <w:szCs w:val="32"/>
          <w:highlight w:val="none"/>
        </w:rPr>
        <w:t>根据绩效自评结果，要求各业务单位进一步分析绩效目标未完成的原因，发现部门工作存在的问题，提出整改思路和解决办法，结合问卷中社会公众的相关意见和建议，以问题为导向，扎实推进</w:t>
      </w:r>
      <w:r>
        <w:rPr>
          <w:rFonts w:hint="eastAsia" w:ascii="仿宋" w:hAnsi="仿宋" w:eastAsia="仿宋" w:cs="仿宋"/>
          <w:sz w:val="32"/>
          <w:szCs w:val="32"/>
          <w:highlight w:val="none"/>
          <w:lang w:eastAsia="zh-CN"/>
        </w:rPr>
        <w:t>我</w:t>
      </w:r>
      <w:r>
        <w:rPr>
          <w:rFonts w:hint="eastAsia" w:ascii="仿宋" w:hAnsi="仿宋" w:eastAsia="仿宋" w:cs="仿宋"/>
          <w:sz w:val="32"/>
          <w:szCs w:val="32"/>
          <w:highlight w:val="none"/>
        </w:rPr>
        <w:t>局各项工作发展。</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highlight w:val="none"/>
        </w:rPr>
      </w:pPr>
      <w:bookmarkStart w:id="31" w:name="_Toc32190"/>
      <w:r>
        <w:rPr>
          <w:rFonts w:hint="eastAsia" w:ascii="仿宋" w:hAnsi="仿宋" w:eastAsia="仿宋" w:cs="仿宋"/>
          <w:color w:val="auto"/>
          <w:sz w:val="32"/>
          <w:szCs w:val="32"/>
          <w:highlight w:val="none"/>
        </w:rPr>
        <w:t>六、有关建议</w:t>
      </w:r>
      <w:bookmarkEnd w:id="31"/>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通过此次绩效自评工作的开展，</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意识到自身需加强绩效管理，培养工作人员的绩效管理意识，增加相关人员绩效管理知识性和系统性的培训，使今后绩效管理的工作能够更好的开展。</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highlight w:val="none"/>
        </w:rPr>
      </w:pPr>
      <w:bookmarkStart w:id="32" w:name="_Toc26117"/>
      <w:r>
        <w:rPr>
          <w:rFonts w:hint="eastAsia" w:ascii="仿宋" w:hAnsi="仿宋" w:eastAsia="仿宋" w:cs="仿宋"/>
          <w:color w:val="auto"/>
          <w:sz w:val="32"/>
          <w:szCs w:val="32"/>
          <w:highlight w:val="none"/>
        </w:rPr>
        <w:t>七、其他需要说明的问题</w:t>
      </w:r>
      <w:bookmarkEnd w:id="32"/>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bookmarkStart w:id="33" w:name="_Toc85"/>
      <w:bookmarkStart w:id="34" w:name="_Toc15457"/>
      <w:r>
        <w:rPr>
          <w:rFonts w:hint="eastAsia" w:ascii="仿宋" w:hAnsi="仿宋" w:eastAsia="仿宋" w:cs="仿宋"/>
          <w:sz w:val="32"/>
          <w:szCs w:val="32"/>
          <w:highlight w:val="none"/>
        </w:rPr>
        <w:t>（一）绩效自评工作经验</w:t>
      </w:r>
      <w:bookmarkEnd w:id="33"/>
      <w:bookmarkEnd w:id="34"/>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我</w:t>
      </w:r>
      <w:r>
        <w:rPr>
          <w:rFonts w:hint="eastAsia" w:ascii="仿宋" w:hAnsi="仿宋" w:eastAsia="仿宋" w:cs="仿宋"/>
          <w:sz w:val="32"/>
          <w:szCs w:val="32"/>
          <w:highlight w:val="none"/>
        </w:rPr>
        <w:t>单位通过此次部门整体绩效自评，</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充分了解到本级部门的整体运行情况和工作开展进度、成效及不足之处。</w:t>
      </w:r>
    </w:p>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此次评价发现的相关问题和经验，为</w:t>
      </w:r>
      <w:r>
        <w:rPr>
          <w:rFonts w:hint="eastAsia" w:ascii="仿宋" w:hAnsi="仿宋" w:eastAsia="仿宋" w:cs="仿宋"/>
          <w:sz w:val="32"/>
          <w:szCs w:val="32"/>
          <w:highlight w:val="none"/>
          <w:lang w:eastAsia="zh-CN"/>
        </w:rPr>
        <w:t>我单位</w:t>
      </w:r>
      <w:r>
        <w:rPr>
          <w:rFonts w:hint="eastAsia" w:ascii="仿宋" w:hAnsi="仿宋" w:eastAsia="仿宋" w:cs="仿宋"/>
          <w:sz w:val="32"/>
          <w:szCs w:val="32"/>
          <w:highlight w:val="none"/>
        </w:rPr>
        <w:t>今后的工作规划提供了借鉴、能够指导今后工作实际开展，促使我单位内部管理的系统化和规范化。</w:t>
      </w:r>
    </w:p>
    <w:p>
      <w:pPr>
        <w:pStyle w:val="8"/>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rPr>
      </w:pPr>
      <w:bookmarkStart w:id="35" w:name="_Toc5863"/>
      <w:bookmarkStart w:id="36" w:name="_Toc16742"/>
      <w:r>
        <w:rPr>
          <w:rFonts w:hint="eastAsia" w:ascii="仿宋" w:hAnsi="仿宋" w:eastAsia="仿宋" w:cs="仿宋"/>
          <w:sz w:val="32"/>
          <w:szCs w:val="32"/>
        </w:rPr>
        <w:t>（二）绩效自评工作发现的</w:t>
      </w:r>
      <w:r>
        <w:rPr>
          <w:rFonts w:hint="eastAsia" w:ascii="仿宋" w:hAnsi="仿宋" w:eastAsia="仿宋" w:cs="仿宋"/>
          <w:sz w:val="32"/>
          <w:szCs w:val="32"/>
          <w:lang w:val="en-US" w:eastAsia="zh-CN"/>
        </w:rPr>
        <w:t>其他</w:t>
      </w:r>
      <w:r>
        <w:rPr>
          <w:rFonts w:hint="eastAsia" w:ascii="仿宋" w:hAnsi="仿宋" w:eastAsia="仿宋" w:cs="仿宋"/>
          <w:sz w:val="32"/>
          <w:szCs w:val="32"/>
        </w:rPr>
        <w:t>问题</w:t>
      </w:r>
      <w:bookmarkEnd w:id="35"/>
      <w:bookmarkEnd w:id="36"/>
    </w:p>
    <w:p>
      <w:pPr>
        <w:pageBreakBefore w:val="0"/>
        <w:widowControl w:val="0"/>
        <w:kinsoku/>
        <w:wordWrap/>
        <w:overflowPunct/>
        <w:topLinePunct w:val="0"/>
        <w:autoSpaceDE/>
        <w:autoSpaceDN/>
        <w:bidi w:val="0"/>
        <w:spacing w:line="360" w:lineRule="auto"/>
        <w:ind w:firstLine="320" w:firstLineChars="100"/>
        <w:textAlignment w:val="auto"/>
        <w:rPr>
          <w:rFonts w:hint="eastAsia" w:ascii="仿宋" w:hAnsi="仿宋" w:eastAsia="仿宋" w:cs="仿宋"/>
          <w:sz w:val="32"/>
          <w:szCs w:val="32"/>
          <w:highlight w:val="none"/>
        </w:rPr>
      </w:pPr>
      <w:bookmarkStart w:id="37" w:name="_Toc32143"/>
      <w:bookmarkStart w:id="38" w:name="_Toc24424"/>
      <w:bookmarkStart w:id="39" w:name="_Toc20640"/>
      <w:r>
        <w:rPr>
          <w:rFonts w:hint="eastAsia" w:ascii="仿宋" w:hAnsi="仿宋" w:eastAsia="仿宋" w:cs="仿宋"/>
          <w:sz w:val="32"/>
          <w:szCs w:val="32"/>
          <w:highlight w:val="none"/>
          <w:lang w:val="en-US" w:eastAsia="zh-CN"/>
        </w:rPr>
        <w:t>无</w:t>
      </w: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z w:val="32"/>
          <w:szCs w:val="32"/>
        </w:rPr>
        <w:sectPr>
          <w:footerReference r:id="rId5" w:type="default"/>
          <w:pgSz w:w="11906" w:h="16838"/>
          <w:pgMar w:top="1440" w:right="1800" w:bottom="1440" w:left="1800" w:header="851" w:footer="992" w:gutter="0"/>
          <w:pgNumType w:fmt="decimal"/>
          <w:cols w:space="425" w:num="1"/>
          <w:docGrid w:type="lines" w:linePitch="312" w:charSpace="0"/>
        </w:sectPr>
      </w:pPr>
      <w:bookmarkStart w:id="40" w:name="_Toc14584"/>
    </w:p>
    <w:p>
      <w:pPr>
        <w:rPr>
          <w:rFonts w:hint="eastAsia"/>
        </w:rPr>
      </w:pPr>
    </w:p>
    <w:p>
      <w:pPr>
        <w:pStyle w:val="7"/>
        <w:pageBreakBefore w:val="0"/>
        <w:widowControl w:val="0"/>
        <w:kinsoku/>
        <w:wordWrap/>
        <w:overflowPunct/>
        <w:topLinePunct w:val="0"/>
        <w:autoSpaceDE/>
        <w:autoSpaceDN/>
        <w:bidi w:val="0"/>
        <w:spacing w:line="360" w:lineRule="auto"/>
        <w:textAlignment w:val="auto"/>
        <w:rPr>
          <w:rFonts w:hint="eastAsia" w:ascii="仿宋" w:hAnsi="仿宋" w:eastAsia="仿宋" w:cs="仿宋"/>
          <w:sz w:val="32"/>
          <w:szCs w:val="32"/>
          <w:highlight w:val="yellow"/>
        </w:rPr>
      </w:pPr>
      <w:r>
        <w:rPr>
          <w:rFonts w:hint="eastAsia" w:ascii="仿宋" w:hAnsi="仿宋" w:eastAsia="仿宋" w:cs="仿宋"/>
          <w:color w:val="auto"/>
          <w:sz w:val="32"/>
          <w:szCs w:val="32"/>
        </w:rPr>
        <w:t>附件1：</w:t>
      </w:r>
      <w:bookmarkEnd w:id="37"/>
      <w:bookmarkStart w:id="41" w:name="_Toc9225"/>
      <w:r>
        <w:rPr>
          <w:rFonts w:hint="eastAsia" w:ascii="仿宋" w:hAnsi="仿宋" w:eastAsia="仿宋" w:cs="仿宋"/>
          <w:color w:val="auto"/>
          <w:sz w:val="32"/>
          <w:szCs w:val="32"/>
          <w:lang w:eastAsia="zh-CN"/>
        </w:rPr>
        <w:t>2021</w:t>
      </w:r>
      <w:r>
        <w:rPr>
          <w:rFonts w:hint="eastAsia" w:ascii="仿宋" w:hAnsi="仿宋" w:eastAsia="仿宋" w:cs="仿宋"/>
          <w:color w:val="auto"/>
          <w:sz w:val="32"/>
          <w:szCs w:val="32"/>
        </w:rPr>
        <w:t>年度部门整体绩效自评表</w:t>
      </w:r>
      <w:bookmarkEnd w:id="38"/>
      <w:bookmarkEnd w:id="39"/>
      <w:bookmarkEnd w:id="40"/>
      <w:bookmarkEnd w:id="41"/>
    </w:p>
    <w:p>
      <w:pPr>
        <w:pStyle w:val="19"/>
        <w:bidi w:val="0"/>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3"/>
        <w:gridCol w:w="376"/>
        <w:gridCol w:w="872"/>
        <w:gridCol w:w="1082"/>
        <w:gridCol w:w="987"/>
        <w:gridCol w:w="7113"/>
        <w:gridCol w:w="1176"/>
        <w:gridCol w:w="573"/>
        <w:gridCol w:w="590"/>
        <w:gridCol w:w="8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b/>
                <w:bCs/>
                <w:i w:val="0"/>
                <w:iCs w:val="0"/>
                <w:color w:val="000000"/>
                <w:sz w:val="18"/>
                <w:szCs w:val="18"/>
                <w:u w:val="none"/>
              </w:rPr>
            </w:pPr>
            <w:r>
              <w:rPr>
                <w:rStyle w:val="22"/>
                <w:sz w:val="18"/>
                <w:szCs w:val="18"/>
                <w:lang w:val="en-US" w:eastAsia="zh-CN" w:bidi="ar"/>
              </w:rPr>
              <w:t>附件</w:t>
            </w:r>
            <w:r>
              <w:rPr>
                <w:rStyle w:val="23"/>
                <w:rFonts w:eastAsia="黑体"/>
                <w:sz w:val="18"/>
                <w:szCs w:val="18"/>
                <w:lang w:val="en-US" w:eastAsia="zh-CN" w:bidi="ar"/>
              </w:rPr>
              <w:t>1</w:t>
            </w:r>
            <w:r>
              <w:rPr>
                <w:rStyle w:val="22"/>
                <w:sz w:val="18"/>
                <w:szCs w:val="18"/>
                <w:lang w:val="en-US" w:eastAsia="zh-CN" w:bidi="ar"/>
              </w:rPr>
              <w:t>：</w:t>
            </w:r>
            <w:r>
              <w:rPr>
                <w:rStyle w:val="23"/>
                <w:rFonts w:eastAsia="黑体"/>
                <w:sz w:val="18"/>
                <w:szCs w:val="18"/>
                <w:lang w:val="en-US" w:eastAsia="zh-CN" w:bidi="ar"/>
              </w:rPr>
              <w:t>2021</w:t>
            </w:r>
            <w:r>
              <w:rPr>
                <w:rStyle w:val="22"/>
                <w:sz w:val="18"/>
                <w:szCs w:val="18"/>
                <w:lang w:val="en-US" w:eastAsia="zh-CN" w:bidi="ar"/>
              </w:rPr>
              <w:t>年度部门整体绩效自评表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18"/>
                <w:szCs w:val="18"/>
                <w:u w:val="none"/>
              </w:rPr>
            </w:pPr>
            <w:r>
              <w:rPr>
                <w:rFonts w:hint="eastAsia" w:ascii="黑体" w:hAnsi="宋体" w:eastAsia="黑体" w:cs="黑体"/>
                <w:b/>
                <w:bCs/>
                <w:i w:val="0"/>
                <w:iCs w:val="0"/>
                <w:color w:val="000000"/>
                <w:kern w:val="0"/>
                <w:sz w:val="18"/>
                <w:szCs w:val="18"/>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640"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部门（单位）名称</w:t>
            </w:r>
          </w:p>
        </w:tc>
        <w:tc>
          <w:tcPr>
            <w:tcW w:w="4359" w:type="pct"/>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imes New Roman" w:hAnsi="Times New Roman" w:eastAsia="等线" w:cs="Times New Roman"/>
                <w:i w:val="0"/>
                <w:iCs w:val="0"/>
                <w:color w:val="000000"/>
                <w:sz w:val="16"/>
                <w:szCs w:val="16"/>
                <w:u w:val="none"/>
                <w:lang w:eastAsia="zh-CN"/>
              </w:rPr>
            </w:pPr>
            <w:r>
              <w:rPr>
                <w:rFonts w:hint="eastAsia" w:ascii="Times New Roman" w:hAnsi="Times New Roman" w:eastAsia="等线" w:cs="Times New Roman"/>
                <w:i w:val="0"/>
                <w:iCs w:val="0"/>
                <w:color w:val="000000"/>
                <w:sz w:val="16"/>
                <w:szCs w:val="16"/>
                <w:u w:val="none"/>
                <w:lang w:eastAsia="zh-CN"/>
              </w:rPr>
              <w:t>太康县财政局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33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预算执行情况</w:t>
            </w: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年初数</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全年数</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全年执行数</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分值</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预算执行率</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690"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部门预算总额（万元）</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仿宋" w:hAnsi="仿宋" w:eastAsia="仿宋" w:cs="仿宋"/>
                <w:i w:val="0"/>
                <w:iCs w:val="0"/>
                <w:color w:val="000000"/>
                <w:sz w:val="16"/>
                <w:szCs w:val="16"/>
                <w:u w:val="none"/>
                <w:lang w:val="en-US" w:eastAsia="zh-CN"/>
              </w:rPr>
            </w:pPr>
            <w:r>
              <w:rPr>
                <w:rFonts w:hint="eastAsia" w:ascii="仿宋" w:hAnsi="仿宋" w:eastAsia="仿宋" w:cs="仿宋"/>
                <w:i w:val="0"/>
                <w:iCs w:val="0"/>
                <w:color w:val="000000"/>
                <w:sz w:val="16"/>
                <w:szCs w:val="16"/>
                <w:u w:val="none"/>
                <w:lang w:val="en-US" w:eastAsia="zh-CN"/>
              </w:rPr>
              <w:t>2397.4</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仿宋" w:hAnsi="仿宋" w:eastAsia="仿宋" w:cs="仿宋"/>
                <w:i w:val="0"/>
                <w:iCs w:val="0"/>
                <w:color w:val="000000"/>
                <w:sz w:val="16"/>
                <w:szCs w:val="16"/>
                <w:u w:val="none"/>
                <w:lang w:val="en-US" w:eastAsia="zh-CN"/>
              </w:rPr>
            </w:pPr>
            <w:r>
              <w:rPr>
                <w:rFonts w:hint="eastAsia" w:ascii="仿宋" w:hAnsi="仿宋" w:eastAsia="仿宋" w:cs="仿宋"/>
                <w:i w:val="0"/>
                <w:iCs w:val="0"/>
                <w:color w:val="000000"/>
                <w:sz w:val="16"/>
                <w:szCs w:val="16"/>
                <w:u w:val="none"/>
                <w:lang w:val="en-US" w:eastAsia="zh-CN"/>
              </w:rPr>
              <w:t>2397.4</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仿宋" w:hAnsi="仿宋" w:eastAsia="仿宋" w:cs="仿宋"/>
                <w:i w:val="0"/>
                <w:iCs w:val="0"/>
                <w:color w:val="000000"/>
                <w:sz w:val="16"/>
                <w:szCs w:val="16"/>
                <w:u w:val="none"/>
                <w:lang w:val="en-US" w:eastAsia="zh-CN"/>
              </w:rPr>
            </w:pPr>
            <w:r>
              <w:rPr>
                <w:rFonts w:hint="eastAsia" w:ascii="仿宋" w:hAnsi="仿宋" w:eastAsia="仿宋" w:cs="仿宋"/>
                <w:i w:val="0"/>
                <w:iCs w:val="0"/>
                <w:color w:val="000000"/>
                <w:sz w:val="16"/>
                <w:szCs w:val="16"/>
                <w:u w:val="none"/>
                <w:lang w:val="en-US" w:eastAsia="zh-CN"/>
              </w:rPr>
              <w:t>2397.4</w:t>
            </w: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w:t>
            </w:r>
          </w:p>
        </w:tc>
        <w:tc>
          <w:tcPr>
            <w:tcW w:w="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 w:hAnsi="仿宋" w:eastAsia="仿宋" w:cs="仿宋"/>
                <w:i w:val="0"/>
                <w:iCs w:val="0"/>
                <w:color w:val="000000"/>
                <w:sz w:val="16"/>
                <w:szCs w:val="16"/>
                <w:u w:val="none"/>
                <w:lang w:val="en-US" w:eastAsia="zh-CN"/>
              </w:rPr>
            </w:pPr>
            <w:r>
              <w:rPr>
                <w:rFonts w:hint="eastAsia" w:ascii="仿宋" w:hAnsi="仿宋" w:eastAsia="仿宋" w:cs="仿宋"/>
                <w:i w:val="0"/>
                <w:iCs w:val="0"/>
                <w:color w:val="000000"/>
                <w:sz w:val="16"/>
                <w:szCs w:val="16"/>
                <w:u w:val="none"/>
                <w:lang w:val="en-US" w:eastAsia="zh-CN"/>
              </w:rPr>
              <w:t>100%</w:t>
            </w:r>
          </w:p>
        </w:tc>
        <w:tc>
          <w:tcPr>
            <w:tcW w:w="29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资金来源</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财政性资金</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2397.4</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default" w:ascii="仿宋" w:hAnsi="仿宋" w:eastAsia="仿宋" w:cs="仿宋"/>
                <w:i w:val="0"/>
                <w:iCs w:val="0"/>
                <w:color w:val="000000"/>
                <w:sz w:val="16"/>
                <w:szCs w:val="16"/>
                <w:u w:val="none"/>
                <w:lang w:val="en-US" w:eastAsia="zh-CN"/>
              </w:rPr>
            </w:pPr>
            <w:r>
              <w:rPr>
                <w:rFonts w:hint="eastAsia" w:ascii="仿宋" w:hAnsi="仿宋" w:eastAsia="仿宋" w:cs="仿宋"/>
                <w:i w:val="0"/>
                <w:iCs w:val="0"/>
                <w:color w:val="000000"/>
                <w:sz w:val="16"/>
                <w:szCs w:val="16"/>
                <w:u w:val="none"/>
                <w:lang w:val="en-US" w:eastAsia="zh-CN"/>
              </w:rPr>
              <w:t>2397.4</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2397.4</w:t>
            </w: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100%</w:t>
            </w: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其他资金</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29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年度履职目标</w:t>
            </w:r>
          </w:p>
        </w:tc>
        <w:tc>
          <w:tcPr>
            <w:tcW w:w="3547"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预期目标</w:t>
            </w: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目标名称</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主要内容</w:t>
            </w: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目标</w:t>
            </w:r>
            <w:r>
              <w:rPr>
                <w:rStyle w:val="25"/>
                <w:rFonts w:eastAsia="仿宋"/>
                <w:sz w:val="16"/>
                <w:szCs w:val="16"/>
                <w:lang w:val="en-US" w:eastAsia="zh-CN" w:bidi="ar"/>
              </w:rPr>
              <w:t>1:</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pageBreakBefore w:val="0"/>
              <w:widowControl w:val="0"/>
              <w:kinsoku/>
              <w:wordWrap/>
              <w:overflowPunct/>
              <w:topLinePunct w:val="0"/>
              <w:autoSpaceDE/>
              <w:autoSpaceDN/>
              <w:bidi w:val="0"/>
              <w:spacing w:line="360" w:lineRule="auto"/>
              <w:textAlignment w:val="auto"/>
              <w:rPr>
                <w:rFonts w:hint="eastAsia" w:ascii="仿宋" w:hAnsi="仿宋" w:eastAsia="仿宋" w:cs="仿宋"/>
                <w:sz w:val="16"/>
                <w:szCs w:val="16"/>
                <w:highlight w:val="none"/>
                <w:lang w:val="en-US" w:eastAsia="zh-CN"/>
              </w:rPr>
            </w:pPr>
            <w:r>
              <w:rPr>
                <w:rFonts w:hint="eastAsia" w:hAnsi="Calibri" w:cs="仿宋_GB2312"/>
                <w:sz w:val="16"/>
                <w:szCs w:val="16"/>
                <w:highlight w:val="none"/>
                <w:lang w:val="en-US" w:eastAsia="zh-CN"/>
              </w:rPr>
              <w:t>完善宏观调控体系，创新调控方式，构建发展规划、财政、金融等政策协调和工作协同机制，强化经济监测预测预警能力，建立健全重大问题研究和政策储备工作机制，增强宏观调控前瞻性、针对性、协同性。</w:t>
            </w:r>
          </w:p>
          <w:p>
            <w:pPr>
              <w:jc w:val="center"/>
              <w:rPr>
                <w:rFonts w:hint="default" w:ascii="Times New Roman" w:hAnsi="Times New Roman" w:eastAsia="等线" w:cs="Times New Roman"/>
                <w:i w:val="0"/>
                <w:iCs w:val="0"/>
                <w:color w:val="000000"/>
                <w:sz w:val="16"/>
                <w:szCs w:val="16"/>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Times New Roman" w:hAnsi="Times New Roman" w:eastAsia="等线" w:cs="Times New Roman"/>
                <w:i w:val="0"/>
                <w:iCs w:val="0"/>
                <w:color w:val="000000"/>
                <w:sz w:val="16"/>
                <w:szCs w:val="16"/>
                <w:u w:val="none"/>
                <w:lang w:eastAsia="zh-CN"/>
              </w:rPr>
            </w:pPr>
            <w:r>
              <w:rPr>
                <w:rFonts w:hint="eastAsia" w:ascii="Times New Roman" w:hAnsi="Times New Roman" w:eastAsia="等线" w:cs="Times New Roman"/>
                <w:i w:val="0"/>
                <w:iCs w:val="0"/>
                <w:color w:val="000000"/>
                <w:sz w:val="16"/>
                <w:szCs w:val="16"/>
                <w:u w:val="none"/>
                <w:lang w:eastAsia="zh-CN"/>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目标</w:t>
            </w:r>
            <w:r>
              <w:rPr>
                <w:rStyle w:val="25"/>
                <w:rFonts w:eastAsia="仿宋"/>
                <w:sz w:val="16"/>
                <w:szCs w:val="16"/>
                <w:lang w:val="en-US" w:eastAsia="zh-CN" w:bidi="ar"/>
              </w:rPr>
              <w:t>2:</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加快建立现代化财政制度，推进财政事权和支出责任划分改革，理顺县乡（镇）财政关系。</w:t>
            </w:r>
          </w:p>
          <w:p>
            <w:pPr>
              <w:jc w:val="center"/>
              <w:rPr>
                <w:rFonts w:hint="default" w:ascii="Times New Roman" w:hAnsi="Times New Roman" w:eastAsia="等线" w:cs="Times New Roman"/>
                <w:i w:val="0"/>
                <w:iCs w:val="0"/>
                <w:color w:val="000000"/>
                <w:sz w:val="8"/>
                <w:szCs w:val="8"/>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r>
              <w:rPr>
                <w:rFonts w:hint="eastAsia" w:ascii="Times New Roman" w:hAnsi="Times New Roman" w:eastAsia="等线" w:cs="Times New Roman"/>
                <w:i w:val="0"/>
                <w:iCs w:val="0"/>
                <w:color w:val="000000"/>
                <w:sz w:val="16"/>
                <w:szCs w:val="16"/>
                <w:u w:val="none"/>
                <w:lang w:eastAsia="zh-CN"/>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目标</w:t>
            </w:r>
            <w:r>
              <w:rPr>
                <w:rStyle w:val="25"/>
                <w:rFonts w:eastAsia="仿宋"/>
                <w:sz w:val="16"/>
                <w:szCs w:val="16"/>
                <w:lang w:val="en-US" w:eastAsia="zh-CN" w:bidi="ar"/>
              </w:rPr>
              <w:t>3:</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完善转移支付制度，优化转移支付分类，规范转移支付项目，增强县乡（镇）统筹能力。</w:t>
            </w:r>
          </w:p>
          <w:p>
            <w:pPr>
              <w:jc w:val="center"/>
              <w:rPr>
                <w:rFonts w:hint="default" w:ascii="Times New Roman" w:hAnsi="Times New Roman" w:eastAsia="等线" w:cs="Times New Roman"/>
                <w:i w:val="0"/>
                <w:iCs w:val="0"/>
                <w:color w:val="000000"/>
                <w:sz w:val="8"/>
                <w:szCs w:val="8"/>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r>
              <w:rPr>
                <w:rFonts w:hint="eastAsia" w:ascii="Times New Roman" w:hAnsi="Times New Roman" w:eastAsia="等线" w:cs="Times New Roman"/>
                <w:i w:val="0"/>
                <w:iCs w:val="0"/>
                <w:color w:val="000000"/>
                <w:sz w:val="16"/>
                <w:szCs w:val="16"/>
                <w:u w:val="none"/>
                <w:lang w:eastAsia="zh-CN"/>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目标</w:t>
            </w:r>
            <w:r>
              <w:rPr>
                <w:rStyle w:val="25"/>
                <w:rFonts w:eastAsia="仿宋"/>
                <w:sz w:val="16"/>
                <w:szCs w:val="16"/>
                <w:lang w:val="en-US" w:eastAsia="zh-CN" w:bidi="ar"/>
              </w:rPr>
              <w:t>4:</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5"/>
              <w:rPr>
                <w:rFonts w:hint="eastAsia" w:ascii="仿宋" w:hAnsi="仿宋" w:eastAsia="仿宋" w:cs="仿宋"/>
                <w:sz w:val="20"/>
                <w:szCs w:val="20"/>
              </w:rPr>
            </w:pPr>
            <w:r>
              <w:rPr>
                <w:rFonts w:hint="eastAsia" w:hAnsi="Calibri" w:cs="仿宋_GB2312"/>
                <w:sz w:val="20"/>
                <w:szCs w:val="20"/>
                <w:lang w:val="en-US" w:eastAsia="zh-CN"/>
              </w:rPr>
              <w:t>调动政府和市场两个积极性，规范运用政府和社会资本合作，深化财政性涉企资金基金化改革，健全融资担保体系，统筹发挥政府采购等政策功能，综合运用财政贴息、奖补、风险补偿等方式，引导金融机构和社会资本更好服务我县经济社会发展。</w:t>
            </w:r>
            <w:r>
              <w:rPr>
                <w:rFonts w:hint="eastAsia" w:ascii="仿宋" w:hAnsi="仿宋" w:eastAsia="仿宋" w:cs="仿宋"/>
                <w:color w:val="000000"/>
                <w:kern w:val="0"/>
                <w:sz w:val="20"/>
                <w:szCs w:val="20"/>
                <w:lang w:val="en-US" w:eastAsia="zh-CN" w:bidi="ar"/>
              </w:rPr>
              <w:t xml:space="preserve"> </w:t>
            </w:r>
          </w:p>
          <w:p>
            <w:pPr>
              <w:jc w:val="center"/>
              <w:rPr>
                <w:rFonts w:hint="default" w:ascii="Times New Roman" w:hAnsi="Times New Roman" w:eastAsia="等线" w:cs="Times New Roman"/>
                <w:i w:val="0"/>
                <w:iCs w:val="0"/>
                <w:color w:val="000000"/>
                <w:sz w:val="8"/>
                <w:szCs w:val="8"/>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r>
              <w:rPr>
                <w:rFonts w:hint="eastAsia" w:ascii="Times New Roman" w:hAnsi="Times New Roman" w:eastAsia="等线" w:cs="Times New Roman"/>
                <w:i w:val="0"/>
                <w:iCs w:val="0"/>
                <w:color w:val="000000"/>
                <w:sz w:val="16"/>
                <w:szCs w:val="16"/>
                <w:u w:val="none"/>
                <w:lang w:eastAsia="zh-CN"/>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bookmarkStart w:id="42" w:name="_GoBack"/>
            <w:bookmarkEnd w:id="42"/>
            <w:r>
              <w:rPr>
                <w:rFonts w:hint="eastAsia" w:ascii="仿宋" w:hAnsi="仿宋" w:eastAsia="仿宋" w:cs="仿宋"/>
                <w:i w:val="0"/>
                <w:iCs w:val="0"/>
                <w:color w:val="000000"/>
                <w:kern w:val="0"/>
                <w:sz w:val="16"/>
                <w:szCs w:val="16"/>
                <w:u w:val="none"/>
                <w:lang w:val="en-US" w:eastAsia="zh-CN" w:bidi="ar"/>
              </w:rPr>
              <w:t>年度主要任务</w:t>
            </w: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任务名称</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主要内容</w:t>
            </w: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任务完成情况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任务</w:t>
            </w:r>
            <w:r>
              <w:rPr>
                <w:rStyle w:val="25"/>
                <w:rFonts w:eastAsia="仿宋"/>
                <w:sz w:val="16"/>
                <w:szCs w:val="16"/>
                <w:lang w:val="en-US" w:eastAsia="zh-CN" w:bidi="ar"/>
              </w:rPr>
              <w:t>1:</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pageBreakBefore w:val="0"/>
              <w:widowControl w:val="0"/>
              <w:kinsoku/>
              <w:wordWrap/>
              <w:overflowPunct/>
              <w:topLinePunct w:val="0"/>
              <w:autoSpaceDE/>
              <w:autoSpaceDN/>
              <w:bidi w:val="0"/>
              <w:spacing w:line="360" w:lineRule="auto"/>
              <w:textAlignment w:val="auto"/>
              <w:rPr>
                <w:rFonts w:hint="eastAsia" w:ascii="仿宋" w:hAnsi="仿宋" w:cs="宋体"/>
                <w:color w:val="333333"/>
                <w:kern w:val="0"/>
                <w:sz w:val="18"/>
                <w:szCs w:val="18"/>
                <w:lang w:val="en-US" w:eastAsia="zh-CN"/>
              </w:rPr>
            </w:pPr>
            <w:r>
              <w:rPr>
                <w:rFonts w:hint="eastAsia" w:ascii="仿宋" w:hAnsi="仿宋" w:eastAsia="仿宋" w:cs="宋体"/>
                <w:color w:val="333333"/>
                <w:kern w:val="0"/>
                <w:sz w:val="18"/>
                <w:szCs w:val="18"/>
                <w:lang w:val="en-US" w:eastAsia="zh-CN"/>
              </w:rPr>
              <w:t>保障财政局工作正常运转</w:t>
            </w:r>
            <w:r>
              <w:rPr>
                <w:rFonts w:hint="eastAsia" w:ascii="仿宋" w:hAnsi="仿宋" w:cs="宋体"/>
                <w:color w:val="333333"/>
                <w:kern w:val="0"/>
                <w:sz w:val="18"/>
                <w:szCs w:val="18"/>
                <w:lang w:val="en-US" w:eastAsia="zh-CN"/>
              </w:rPr>
              <w:t>。</w:t>
            </w:r>
          </w:p>
          <w:p>
            <w:pPr>
              <w:jc w:val="center"/>
              <w:rPr>
                <w:rFonts w:hint="default" w:ascii="Times New Roman" w:hAnsi="Times New Roman" w:eastAsia="等线" w:cs="Times New Roman"/>
                <w:i w:val="0"/>
                <w:iCs w:val="0"/>
                <w:color w:val="000000"/>
                <w:sz w:val="6"/>
                <w:szCs w:val="6"/>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1"/>
                <w:szCs w:val="11"/>
                <w:u w:val="none"/>
              </w:rPr>
            </w:pPr>
            <w:r>
              <w:rPr>
                <w:rFonts w:hint="eastAsia" w:ascii="Times New Roman" w:hAnsi="Times New Roman" w:eastAsia="等线" w:cs="Times New Roman"/>
                <w:i w:val="0"/>
                <w:iCs w:val="0"/>
                <w:color w:val="000000"/>
                <w:sz w:val="11"/>
                <w:szCs w:val="11"/>
                <w:u w:val="none"/>
                <w:lang w:eastAsia="zh-CN"/>
              </w:rPr>
              <w:t>保</w:t>
            </w:r>
            <w:r>
              <w:rPr>
                <w:rFonts w:hint="default" w:ascii="Times New Roman" w:hAnsi="Times New Roman" w:eastAsia="等线" w:cs="Times New Roman"/>
                <w:i w:val="0"/>
                <w:iCs w:val="0"/>
                <w:color w:val="000000"/>
                <w:sz w:val="11"/>
                <w:szCs w:val="11"/>
                <w:u w:val="none"/>
              </w:rPr>
              <w:t>障人员工资薪金足额发放，社保、公积金及时缴纳、保障日常办公水电暖及物业费足额缴纳，保障办公费、差旅费、印刷费、福利费等日常运转类支出。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33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任务</w:t>
            </w:r>
            <w:r>
              <w:rPr>
                <w:rStyle w:val="25"/>
                <w:rFonts w:eastAsia="仿宋"/>
                <w:sz w:val="16"/>
                <w:szCs w:val="16"/>
                <w:lang w:val="en-US" w:eastAsia="zh-CN" w:bidi="ar"/>
              </w:rPr>
              <w:t>2:</w:t>
            </w:r>
          </w:p>
        </w:tc>
        <w:tc>
          <w:tcPr>
            <w:tcW w:w="3239"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pageBreakBefore w:val="0"/>
              <w:widowControl w:val="0"/>
              <w:kinsoku/>
              <w:wordWrap/>
              <w:overflowPunct/>
              <w:topLinePunct w:val="0"/>
              <w:autoSpaceDE/>
              <w:autoSpaceDN/>
              <w:bidi w:val="0"/>
              <w:spacing w:line="360" w:lineRule="auto"/>
              <w:textAlignment w:val="auto"/>
              <w:rPr>
                <w:rFonts w:hint="default" w:ascii="仿宋" w:hAnsi="仿宋" w:eastAsia="仿宋" w:cs="仿宋"/>
                <w:sz w:val="18"/>
                <w:szCs w:val="18"/>
                <w:lang w:val="en-US" w:eastAsia="zh-CN"/>
              </w:rPr>
            </w:pPr>
            <w:r>
              <w:rPr>
                <w:rFonts w:hint="eastAsia" w:ascii="仿宋" w:hAnsi="仿宋" w:eastAsia="仿宋" w:cs="宋体"/>
                <w:color w:val="333333"/>
                <w:kern w:val="0"/>
                <w:sz w:val="18"/>
                <w:szCs w:val="18"/>
                <w:lang w:val="en-US" w:eastAsia="zh-CN"/>
              </w:rPr>
              <w:t>保障财政所工作正常运转</w:t>
            </w:r>
            <w:r>
              <w:rPr>
                <w:rFonts w:hint="eastAsia" w:ascii="仿宋" w:hAnsi="仿宋" w:cs="宋体"/>
                <w:color w:val="333333"/>
                <w:kern w:val="0"/>
                <w:sz w:val="18"/>
                <w:szCs w:val="18"/>
                <w:lang w:val="en-US" w:eastAsia="zh-CN"/>
              </w:rPr>
              <w:t>。</w:t>
            </w:r>
          </w:p>
          <w:p>
            <w:pPr>
              <w:jc w:val="center"/>
              <w:rPr>
                <w:rFonts w:hint="default" w:ascii="Times New Roman" w:hAnsi="Times New Roman" w:eastAsia="等线" w:cs="Times New Roman"/>
                <w:i w:val="0"/>
                <w:iCs w:val="0"/>
                <w:color w:val="000000"/>
                <w:sz w:val="6"/>
                <w:szCs w:val="6"/>
                <w:u w:val="none"/>
              </w:rPr>
            </w:pPr>
          </w:p>
        </w:tc>
        <w:tc>
          <w:tcPr>
            <w:tcW w:w="112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1"/>
                <w:szCs w:val="11"/>
                <w:u w:val="none"/>
              </w:rPr>
            </w:pPr>
            <w:r>
              <w:rPr>
                <w:rFonts w:hint="eastAsia" w:ascii="Times New Roman" w:hAnsi="Times New Roman" w:eastAsia="等线" w:cs="Times New Roman"/>
                <w:i w:val="0"/>
                <w:iCs w:val="0"/>
                <w:color w:val="000000"/>
                <w:sz w:val="11"/>
                <w:szCs w:val="11"/>
                <w:u w:val="none"/>
                <w:lang w:eastAsia="zh-CN"/>
              </w:rPr>
              <w:t>保</w:t>
            </w:r>
            <w:r>
              <w:rPr>
                <w:rFonts w:hint="default" w:ascii="Times New Roman" w:hAnsi="Times New Roman" w:eastAsia="等线" w:cs="Times New Roman"/>
                <w:i w:val="0"/>
                <w:iCs w:val="0"/>
                <w:color w:val="000000"/>
                <w:sz w:val="11"/>
                <w:szCs w:val="11"/>
                <w:u w:val="none"/>
              </w:rPr>
              <w:t>障人员工资薪金足额发放，社保、公积金及时缴纳、保障日常办公水电暖及物业费足额缴纳，保障办公费、差旅费、印刷费、福利费等日常运转类支出。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一级指标</w:t>
            </w:r>
          </w:p>
        </w:tc>
        <w:tc>
          <w:tcPr>
            <w:tcW w:w="1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分值</w:t>
            </w:r>
          </w:p>
        </w:tc>
        <w:tc>
          <w:tcPr>
            <w:tcW w:w="3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二级指标</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三级指标</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指标值</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指标说明及评分要点</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实际完成值</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分值</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w:t>
            </w:r>
          </w:p>
        </w:tc>
        <w:tc>
          <w:tcPr>
            <w:tcW w:w="294" w:type="pct"/>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未完成原因分析及改进措施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0" w:hRule="atLeast"/>
        </w:trPr>
        <w:tc>
          <w:tcPr>
            <w:tcW w:w="19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投入管理指标</w:t>
            </w:r>
          </w:p>
        </w:tc>
        <w:tc>
          <w:tcPr>
            <w:tcW w:w="13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30</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工作目标管理</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年度履职目标相关性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相关</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1.年度履职目标是否符合国家、省、市、县委、县政府战略部署和发展规划，与国家、省、市、县宏观政策、行政政策一致；</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2.年度履职目标是否与部门职责、工作规划和重点工作相关；</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3.确定的预算项目是否合理，是否与工作目标密切相关；</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4.工作任务和项目预算安排是否合理。</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相关</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工作任务科学性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科学</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1.工作任务是否有明确的绩效目标，绩效目标是否与部门年度履职目标一致，是否能体现工作任务的产出和效果；</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2.工作任务对应的预算项目是否有明确的绩效目标，绩效目标是否与部门职责目标、工作任务目标一致，是否能体现预算项目的产出和效果。</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每符合1项得1分。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科学</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绩效指标合理性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合理</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1.工作任务、预算项目绩效指标设置是否准确反映部门绩效完成情况；</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2.工作任务、预算项目绩效指标是否清晰、细化、可评价、可衡量；</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3.工作任务预算项目绩效指标的评价标准是否清晰、可衡量；</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4.是否与部门年度的任务数或计划数相对应。</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基本合理</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预算和财务管理</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预算编制完整性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完整</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1.部门所有收入是否全部纳入部门预算；</w:t>
            </w:r>
          </w:p>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2.部门支出预算是否统筹各类资金来源，全部纳入部门预算管理。</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每符合1项得1分。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完整</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专项资金细化率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专项资金细化率=（已细化到具体乡镇和承担单位的资金数/部门参与分配资金总数）×100%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得分=专项资金细化率×2分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预算调整率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 w:hAnsi="仿宋" w:eastAsia="仿宋" w:cs="仿宋"/>
                <w:i w:val="0"/>
                <w:iCs w:val="0"/>
                <w:color w:val="000000"/>
                <w:sz w:val="16"/>
                <w:szCs w:val="16"/>
                <w:u w:val="none"/>
                <w:lang w:val="en-US" w:eastAsia="zh-CN"/>
              </w:rPr>
            </w:pPr>
            <w:r>
              <w:rPr>
                <w:rFonts w:hint="eastAsia"/>
                <w:color w:val="auto"/>
                <w:highlight w:val="none"/>
                <w:lang w:val="en-US" w:eastAsia="zh-CN"/>
              </w:rPr>
              <w:t>≤20%</w:t>
            </w:r>
          </w:p>
        </w:tc>
        <w:tc>
          <w:tcPr>
            <w:tcW w:w="250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Style w:val="24"/>
                <w:sz w:val="16"/>
                <w:szCs w:val="16"/>
                <w:lang w:val="en-US" w:eastAsia="zh-CN" w:bidi="ar"/>
              </w:rPr>
            </w:pPr>
            <w:r>
              <w:rPr>
                <w:rStyle w:val="24"/>
                <w:sz w:val="16"/>
                <w:szCs w:val="16"/>
                <w:lang w:val="en-US" w:eastAsia="zh-CN" w:bidi="ar"/>
              </w:rPr>
              <w:t>预算调整率=（预算调整数/年初预算数）×100%</w:t>
            </w:r>
          </w:p>
          <w:p>
            <w:pPr>
              <w:keepNext w:val="0"/>
              <w:keepLines w:val="0"/>
              <w:widowControl/>
              <w:suppressLineNumbers w:val="0"/>
              <w:jc w:val="left"/>
              <w:textAlignment w:val="center"/>
              <w:rPr>
                <w:rStyle w:val="24"/>
                <w:sz w:val="16"/>
                <w:szCs w:val="16"/>
                <w:lang w:val="en-US" w:eastAsia="zh-CN" w:bidi="ar"/>
              </w:rPr>
            </w:pPr>
            <w:r>
              <w:rPr>
                <w:rStyle w:val="24"/>
                <w:sz w:val="16"/>
                <w:szCs w:val="16"/>
                <w:lang w:val="en-US" w:eastAsia="zh-CN" w:bidi="ar"/>
              </w:rPr>
              <w:t>预算调整数：部门（单位）在本年度内涉及预算的追加、追减或结构调整的资金总和（因落实国家政策、发生不可抗力、上级部门或本级党委政府临时交办而产生的调整除外）。</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预算调整率≤</w:t>
            </w:r>
            <w:r>
              <w:rPr>
                <w:rStyle w:val="26"/>
                <w:sz w:val="16"/>
                <w:szCs w:val="16"/>
                <w:lang w:val="en-US" w:eastAsia="zh-CN" w:bidi="ar"/>
              </w:rPr>
              <w:t>XX</w:t>
            </w:r>
            <w:r>
              <w:rPr>
                <w:rStyle w:val="24"/>
                <w:sz w:val="16"/>
                <w:szCs w:val="16"/>
                <w:lang w:val="en-US" w:eastAsia="zh-CN" w:bidi="ar"/>
              </w:rPr>
              <w:t>%得满分，否则每超过1%扣0.2分。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结转结余率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 w:hAnsi="仿宋" w:eastAsia="仿宋" w:cs="仿宋"/>
                <w:i w:val="0"/>
                <w:iCs w:val="0"/>
                <w:color w:val="000000"/>
                <w:sz w:val="16"/>
                <w:szCs w:val="16"/>
                <w:u w:val="none"/>
                <w:lang w:val="en-US" w:eastAsia="zh-CN"/>
              </w:rPr>
            </w:pPr>
            <w:r>
              <w:rPr>
                <w:rFonts w:hint="eastAsia"/>
                <w:color w:val="auto"/>
                <w:highlight w:val="none"/>
                <w:lang w:val="en-US" w:eastAsia="zh-CN"/>
              </w:rPr>
              <w:t>≤20%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4"/>
                <w:sz w:val="16"/>
                <w:szCs w:val="16"/>
                <w:lang w:val="en-US" w:eastAsia="zh-CN" w:bidi="ar"/>
              </w:rPr>
            </w:pPr>
            <w:r>
              <w:rPr>
                <w:rStyle w:val="24"/>
                <w:sz w:val="16"/>
                <w:szCs w:val="16"/>
                <w:lang w:val="en-US" w:eastAsia="zh-CN" w:bidi="ar"/>
              </w:rPr>
              <w:t>结转结余率=结转结余总额/预算数×100%。结转结余总额是指部门本年度的结转结余资金之和。预算数是指财政部门批复的本年度部门的（调整）预算数。</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结转结余率≤</w:t>
            </w:r>
            <w:r>
              <w:rPr>
                <w:rStyle w:val="26"/>
                <w:sz w:val="16"/>
                <w:szCs w:val="16"/>
                <w:lang w:val="en-US" w:eastAsia="zh-CN" w:bidi="ar"/>
              </w:rPr>
              <w:t>XX</w:t>
            </w:r>
            <w:r>
              <w:rPr>
                <w:rStyle w:val="24"/>
                <w:sz w:val="16"/>
                <w:szCs w:val="16"/>
                <w:lang w:val="en-US" w:eastAsia="zh-CN" w:bidi="ar"/>
              </w:rPr>
              <w:t>%得满分，否则每超过1%扣0.1分。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0%</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Style w:val="25"/>
                <w:rFonts w:eastAsia="等线"/>
                <w:sz w:val="16"/>
                <w:szCs w:val="16"/>
                <w:lang w:val="en-US" w:eastAsia="zh-CN" w:bidi="ar"/>
              </w:rPr>
              <w:t>“</w:t>
            </w:r>
            <w:r>
              <w:rPr>
                <w:rStyle w:val="24"/>
                <w:sz w:val="16"/>
                <w:szCs w:val="16"/>
                <w:lang w:val="en-US" w:eastAsia="zh-CN" w:bidi="ar"/>
              </w:rPr>
              <w:t>三公经费</w:t>
            </w:r>
            <w:r>
              <w:rPr>
                <w:rStyle w:val="25"/>
                <w:rFonts w:eastAsia="等线"/>
                <w:sz w:val="16"/>
                <w:szCs w:val="16"/>
                <w:lang w:val="en-US" w:eastAsia="zh-CN" w:bidi="ar"/>
              </w:rPr>
              <w:t>”</w:t>
            </w:r>
            <w:r>
              <w:rPr>
                <w:rStyle w:val="24"/>
                <w:sz w:val="16"/>
                <w:szCs w:val="16"/>
                <w:lang w:val="en-US" w:eastAsia="zh-CN" w:bidi="ar"/>
              </w:rPr>
              <w:t>控制率</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000000"/>
                <w:sz w:val="16"/>
                <w:szCs w:val="16"/>
                <w:u w:val="none"/>
                <w:lang w:val="en-US" w:eastAsia="zh-CN"/>
              </w:rPr>
            </w:pPr>
            <w:r>
              <w:rPr>
                <w:rFonts w:hint="eastAsia"/>
                <w:color w:val="auto"/>
                <w:highlight w:val="none"/>
                <w:lang w:val="en-US" w:eastAsia="zh-CN"/>
              </w:rPr>
              <w:t>≤</w:t>
            </w:r>
            <w:r>
              <w:rPr>
                <w:rFonts w:hint="eastAsia" w:ascii="仿宋" w:hAnsi="仿宋" w:eastAsia="仿宋" w:cs="仿宋"/>
                <w:i w:val="0"/>
                <w:iCs w:val="0"/>
                <w:color w:val="000000"/>
                <w:sz w:val="16"/>
                <w:szCs w:val="16"/>
                <w:u w:val="none"/>
                <w:lang w:val="en-US" w:eastAsia="zh-CN"/>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4"/>
                <w:sz w:val="16"/>
                <w:szCs w:val="16"/>
                <w:lang w:val="en-US" w:eastAsia="zh-CN" w:bidi="ar"/>
              </w:rPr>
            </w:pPr>
            <w:r>
              <w:rPr>
                <w:rStyle w:val="24"/>
                <w:sz w:val="16"/>
                <w:szCs w:val="16"/>
                <w:lang w:val="en-US" w:eastAsia="zh-CN" w:bidi="ar"/>
              </w:rPr>
              <w:t>“三公经费”控制率=本年度“三公经费”实际支出数/“三公经费”预算数×100%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“三公经费”控制率≤</w:t>
            </w:r>
            <w:r>
              <w:rPr>
                <w:rStyle w:val="26"/>
                <w:sz w:val="16"/>
                <w:szCs w:val="16"/>
                <w:lang w:val="en-US" w:eastAsia="zh-CN" w:bidi="ar"/>
              </w:rPr>
              <w:t>XX</w:t>
            </w:r>
            <w:r>
              <w:rPr>
                <w:rStyle w:val="24"/>
                <w:sz w:val="16"/>
                <w:szCs w:val="16"/>
                <w:lang w:val="en-US" w:eastAsia="zh-CN" w:bidi="ar"/>
              </w:rPr>
              <w:t>%得满分，否则不得分。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政府采购执行率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政府采购执行率=（实际政府采购金额/政府采购预算数）×100%。政府采购预算：采购机关根据事业发展计划和行政任务编制的、并经过规定程序批准的年度政府采购计划。</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得分=政府采购执行率×1分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决算真实性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真实</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反映本部门决算工作情况。决算编制数据是否账表一致，即决算报表数据与会计账簿数据是否一致。</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符合本指标要求得满分，否则不得分。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真实</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资金使用合规性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合规</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是否按照相关法律以及资金管理办法规定的用途使用预算资金，用以反映和考核部门（单位）预算资金的规范运行情况。1.是否符合国家财经法规和财务法规和财务管理制度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每符合1项得0.25分。如不符合6、7、8不得分。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合规</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管理制度健全性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健全</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健全</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预决算信息公幵性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公开</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公开</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资产管理规范性</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规范</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每符合1项得0.25分。</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规范</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绩效管理</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绩效监控完成率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部门（单位）按要求实施绩效监控的项目数量占应实施绩效监控项目总数和比重。部门绩效监控完成率=已完成绩效监控项目数量/部门项目总数×100%。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得分等于分值×绩效监控完成率。</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绩效自评完成率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部门（单位）按要求实施绩效自评的项目数量占应实施绩效自评项目总数的比重。部门绩效自评完成率=已完成自评项目数量/部门项目总数×100%。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得分等于分值×绩效自评完成率。</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部门绩效评价完成率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部门重点绩效评价项目评价完成情况。部门绩效评价完成率=已完成评价项目数量/部门重点绩效评价项目数×100%。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得分等于分值×部门绩效评价完成率。</w:t>
            </w: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评价结果应用率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16"/>
                <w:szCs w:val="16"/>
                <w:u w:val="none"/>
                <w:lang w:val="en-US" w:eastAsia="zh-CN" w:bidi="ar"/>
              </w:rPr>
            </w:pPr>
            <w:r>
              <w:rPr>
                <w:rFonts w:hint="eastAsia" w:ascii="仿宋" w:hAnsi="仿宋" w:eastAsia="仿宋" w:cs="仿宋"/>
                <w:i w:val="0"/>
                <w:iCs w:val="0"/>
                <w:color w:val="000000"/>
                <w:kern w:val="0"/>
                <w:sz w:val="16"/>
                <w:szCs w:val="16"/>
                <w:u w:val="none"/>
                <w:lang w:val="en-US" w:eastAsia="zh-CN" w:bidi="ar"/>
              </w:rPr>
              <w:t>绩效监控、单位自评、部门绩效评价、财政重点绩效评价结果应用情况。评价结果应用率=评价提出的意见建议采纳数/提出的意见建议总数/×100%。</w:t>
            </w:r>
          </w:p>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得分等于分值×评价结果应用率。</w:t>
            </w:r>
          </w:p>
        </w:tc>
        <w:tc>
          <w:tcPr>
            <w:tcW w:w="41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9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产出指标</w:t>
            </w:r>
          </w:p>
        </w:tc>
        <w:tc>
          <w:tcPr>
            <w:tcW w:w="13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25</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重点工作任务完成</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重点工作</w:t>
            </w:r>
            <w:r>
              <w:rPr>
                <w:rStyle w:val="25"/>
                <w:rFonts w:eastAsia="仿宋"/>
                <w:sz w:val="16"/>
                <w:szCs w:val="16"/>
                <w:lang w:val="en-US" w:eastAsia="zh-CN" w:bidi="ar"/>
              </w:rPr>
              <w:t>1</w:t>
            </w:r>
            <w:r>
              <w:rPr>
                <w:rStyle w:val="24"/>
                <w:sz w:val="16"/>
                <w:szCs w:val="16"/>
                <w:lang w:val="en-US" w:eastAsia="zh-CN" w:bidi="ar"/>
              </w:rPr>
              <w:t>计划完成率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重点工作</w:t>
            </w:r>
            <w:r>
              <w:rPr>
                <w:rStyle w:val="25"/>
                <w:rFonts w:hint="eastAsia" w:eastAsia="仿宋"/>
                <w:sz w:val="16"/>
                <w:szCs w:val="16"/>
                <w:lang w:val="en-US" w:eastAsia="zh-CN" w:bidi="ar"/>
              </w:rPr>
              <w:t>2</w:t>
            </w:r>
            <w:r>
              <w:rPr>
                <w:rStyle w:val="24"/>
                <w:sz w:val="16"/>
                <w:szCs w:val="16"/>
                <w:lang w:val="en-US" w:eastAsia="zh-CN" w:bidi="ar"/>
              </w:rPr>
              <w:t>计划完成率</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 w:hAnsi="仿宋" w:eastAsia="仿宋" w:cs="仿宋"/>
                <w:i w:val="0"/>
                <w:iCs w:val="0"/>
                <w:color w:val="000000"/>
                <w:sz w:val="16"/>
                <w:szCs w:val="16"/>
                <w:u w:val="none"/>
                <w:lang w:val="en-US"/>
              </w:rPr>
            </w:pPr>
            <w:r>
              <w:rPr>
                <w:rFonts w:hint="eastAsia" w:ascii="仿宋" w:hAnsi="仿宋" w:eastAsia="仿宋" w:cs="仿宋"/>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12</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12</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履职目标实现</w:t>
            </w: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年度工作目标</w:t>
            </w:r>
            <w:r>
              <w:rPr>
                <w:rStyle w:val="25"/>
                <w:rFonts w:hint="eastAsia" w:eastAsia="仿宋"/>
                <w:sz w:val="16"/>
                <w:szCs w:val="16"/>
                <w:lang w:val="en-US" w:eastAsia="zh-CN" w:bidi="ar"/>
              </w:rPr>
              <w:t>1</w:t>
            </w:r>
            <w:r>
              <w:rPr>
                <w:rStyle w:val="24"/>
                <w:sz w:val="16"/>
                <w:szCs w:val="16"/>
                <w:lang w:val="en-US" w:eastAsia="zh-CN" w:bidi="ar"/>
              </w:rPr>
              <w:t>实现率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年度工作目标</w:t>
            </w:r>
            <w:r>
              <w:rPr>
                <w:rStyle w:val="25"/>
                <w:rFonts w:hint="eastAsia" w:eastAsia="仿宋"/>
                <w:sz w:val="16"/>
                <w:szCs w:val="16"/>
                <w:lang w:val="en-US" w:eastAsia="zh-CN" w:bidi="ar"/>
              </w:rPr>
              <w:t>2</w:t>
            </w:r>
            <w:r>
              <w:rPr>
                <w:rStyle w:val="24"/>
                <w:sz w:val="16"/>
                <w:szCs w:val="16"/>
                <w:lang w:val="en-US" w:eastAsia="zh-CN" w:bidi="ar"/>
              </w:rPr>
              <w:t>实现率</w:t>
            </w:r>
          </w:p>
        </w:tc>
        <w:tc>
          <w:tcPr>
            <w:tcW w:w="34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 w:hAnsi="仿宋" w:eastAsia="仿宋" w:cs="仿宋"/>
                <w:i w:val="0"/>
                <w:iCs w:val="0"/>
                <w:color w:val="000000"/>
                <w:sz w:val="16"/>
                <w:szCs w:val="16"/>
                <w:u w:val="none"/>
                <w:lang w:val="en-US"/>
              </w:rPr>
            </w:pPr>
            <w:r>
              <w:rPr>
                <w:rFonts w:hint="eastAsia" w:ascii="仿宋" w:hAnsi="仿宋" w:eastAsia="仿宋" w:cs="仿宋"/>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r>
              <w:rPr>
                <w:rStyle w:val="24"/>
                <w:sz w:val="16"/>
                <w:szCs w:val="16"/>
                <w:lang w:val="en-US" w:eastAsia="zh-CN" w:bidi="ar"/>
              </w:rPr>
              <w:t>年度工作目标</w:t>
            </w:r>
            <w:r>
              <w:rPr>
                <w:rStyle w:val="25"/>
                <w:rFonts w:hint="eastAsia" w:eastAsia="仿宋"/>
                <w:sz w:val="16"/>
                <w:szCs w:val="16"/>
                <w:lang w:val="en-US" w:eastAsia="zh-CN" w:bidi="ar"/>
              </w:rPr>
              <w:t>3</w:t>
            </w:r>
            <w:r>
              <w:rPr>
                <w:rStyle w:val="24"/>
                <w:sz w:val="16"/>
                <w:szCs w:val="16"/>
                <w:lang w:val="en-US" w:eastAsia="zh-CN" w:bidi="ar"/>
              </w:rPr>
              <w:t>实现率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i w:val="0"/>
                <w:iCs w:val="0"/>
                <w:color w:val="000000"/>
                <w:kern w:val="0"/>
                <w:sz w:val="16"/>
                <w:szCs w:val="16"/>
                <w:u w:val="none"/>
                <w:lang w:val="en-US" w:eastAsia="zh-CN" w:bidi="ar"/>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r>
              <w:rPr>
                <w:rStyle w:val="24"/>
                <w:sz w:val="16"/>
                <w:szCs w:val="16"/>
                <w:lang w:val="en-US" w:eastAsia="zh-CN" w:bidi="ar"/>
              </w:rPr>
              <w:t>年度工作目标</w:t>
            </w:r>
            <w:r>
              <w:rPr>
                <w:rStyle w:val="25"/>
                <w:rFonts w:hint="eastAsia" w:eastAsia="仿宋"/>
                <w:sz w:val="16"/>
                <w:szCs w:val="16"/>
                <w:lang w:val="en-US" w:eastAsia="zh-CN" w:bidi="ar"/>
              </w:rPr>
              <w:t>4</w:t>
            </w:r>
            <w:r>
              <w:rPr>
                <w:rStyle w:val="24"/>
                <w:sz w:val="16"/>
                <w:szCs w:val="16"/>
                <w:lang w:val="en-US" w:eastAsia="zh-CN" w:bidi="ar"/>
              </w:rPr>
              <w:t>实现率</w:t>
            </w:r>
          </w:p>
        </w:tc>
        <w:tc>
          <w:tcPr>
            <w:tcW w:w="3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等线" w:cs="Times New Roman"/>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100%</w:t>
            </w:r>
          </w:p>
        </w:tc>
        <w:tc>
          <w:tcPr>
            <w:tcW w:w="2509"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i w:val="0"/>
                <w:iCs w:val="0"/>
                <w:color w:val="000000"/>
                <w:kern w:val="0"/>
                <w:sz w:val="16"/>
                <w:szCs w:val="16"/>
                <w:u w:val="none"/>
                <w:lang w:val="en-US" w:eastAsia="zh-CN" w:bidi="ar"/>
              </w:rPr>
              <w:t>100%</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9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效益指标</w:t>
            </w:r>
          </w:p>
        </w:tc>
        <w:tc>
          <w:tcPr>
            <w:tcW w:w="13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等线" w:cs="Times New Roman"/>
                <w:i w:val="0"/>
                <w:iCs w:val="0"/>
                <w:color w:val="000000"/>
                <w:sz w:val="16"/>
                <w:szCs w:val="16"/>
                <w:u w:val="none"/>
              </w:rPr>
            </w:pPr>
            <w:r>
              <w:rPr>
                <w:rFonts w:hint="default" w:ascii="Times New Roman" w:hAnsi="Times New Roman" w:eastAsia="等线" w:cs="Times New Roman"/>
                <w:i w:val="0"/>
                <w:iCs w:val="0"/>
                <w:color w:val="000000"/>
                <w:kern w:val="0"/>
                <w:sz w:val="16"/>
                <w:szCs w:val="16"/>
                <w:u w:val="none"/>
                <w:lang w:val="en-US" w:eastAsia="zh-CN" w:bidi="ar"/>
              </w:rPr>
              <w:t>35</w:t>
            </w:r>
          </w:p>
        </w:tc>
        <w:tc>
          <w:tcPr>
            <w:tcW w:w="308" w:type="pct"/>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履职社会效益</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6"/>
                <w:szCs w:val="16"/>
                <w:u w:val="none"/>
                <w:lang w:eastAsia="zh-CN"/>
              </w:rPr>
            </w:pPr>
            <w:r>
              <w:rPr>
                <w:rFonts w:hint="eastAsia" w:ascii="仿宋" w:hAnsi="仿宋" w:eastAsia="仿宋" w:cs="仿宋"/>
                <w:i w:val="0"/>
                <w:iCs w:val="0"/>
                <w:color w:val="000000"/>
                <w:sz w:val="16"/>
                <w:szCs w:val="16"/>
                <w:u w:val="none"/>
                <w:lang w:eastAsia="zh-CN"/>
              </w:rPr>
              <w:t>保障财政工作</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6"/>
                <w:szCs w:val="16"/>
                <w:u w:val="none"/>
                <w:lang w:eastAsia="zh-CN"/>
              </w:rPr>
            </w:pPr>
            <w:r>
              <w:rPr>
                <w:rFonts w:hint="eastAsia" w:ascii="仿宋" w:hAnsi="仿宋" w:eastAsia="仿宋" w:cs="仿宋"/>
                <w:i w:val="0"/>
                <w:iCs w:val="0"/>
                <w:color w:val="000000"/>
                <w:sz w:val="16"/>
                <w:szCs w:val="16"/>
                <w:u w:val="none"/>
                <w:lang w:eastAsia="zh-CN"/>
              </w:rPr>
              <w:t>保障</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保障</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1"/>
              <w:bidi w:val="0"/>
              <w:ind w:firstLine="0" w:firstLineChars="0"/>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8</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vMerge w:val="continue"/>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6"/>
                <w:szCs w:val="16"/>
                <w:u w:val="none"/>
                <w:lang w:eastAsia="zh-CN"/>
              </w:rPr>
            </w:pPr>
            <w:r>
              <w:rPr>
                <w:rFonts w:hint="eastAsia" w:ascii="仿宋" w:hAnsi="仿宋" w:eastAsia="仿宋" w:cs="仿宋"/>
                <w:i w:val="0"/>
                <w:iCs w:val="0"/>
                <w:color w:val="000000"/>
                <w:sz w:val="16"/>
                <w:szCs w:val="16"/>
                <w:u w:val="none"/>
                <w:lang w:eastAsia="zh-CN"/>
              </w:rPr>
              <w:t>提高服务质量</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6"/>
                <w:szCs w:val="16"/>
                <w:u w:val="none"/>
                <w:lang w:eastAsia="zh-CN"/>
              </w:rPr>
            </w:pPr>
            <w:r>
              <w:rPr>
                <w:rFonts w:hint="eastAsia" w:ascii="仿宋" w:hAnsi="仿宋" w:eastAsia="仿宋" w:cs="仿宋"/>
                <w:i w:val="0"/>
                <w:iCs w:val="0"/>
                <w:color w:val="000000"/>
                <w:sz w:val="16"/>
                <w:szCs w:val="16"/>
                <w:u w:val="none"/>
                <w:lang w:eastAsia="zh-CN"/>
              </w:rPr>
              <w:t>提高</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6"/>
                <w:szCs w:val="16"/>
                <w:u w:val="none"/>
                <w:lang w:eastAsia="zh-CN"/>
              </w:rPr>
            </w:pPr>
            <w:r>
              <w:rPr>
                <w:rFonts w:hint="eastAsia" w:ascii="仿宋" w:hAnsi="仿宋" w:eastAsia="仿宋" w:cs="仿宋"/>
                <w:i w:val="0"/>
                <w:iCs w:val="0"/>
                <w:color w:val="000000"/>
                <w:sz w:val="16"/>
                <w:szCs w:val="16"/>
                <w:u w:val="none"/>
                <w:lang w:eastAsia="zh-CN"/>
              </w:rPr>
              <w:t>提高</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 w:hAnsi="仿宋" w:eastAsia="仿宋" w:cs="仿宋"/>
                <w:i w:val="0"/>
                <w:iCs w:val="0"/>
                <w:color w:val="000000"/>
                <w:sz w:val="16"/>
                <w:szCs w:val="16"/>
                <w:u w:val="none"/>
              </w:rPr>
            </w:pPr>
          </w:p>
        </w:tc>
        <w:tc>
          <w:tcPr>
            <w:tcW w:w="13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满意度</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群众满意度</w:t>
            </w:r>
          </w:p>
        </w:tc>
        <w:tc>
          <w:tcPr>
            <w:tcW w:w="3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w:t>
            </w:r>
            <w:r>
              <w:rPr>
                <w:rStyle w:val="25"/>
                <w:rFonts w:eastAsia="仿宋"/>
                <w:sz w:val="16"/>
                <w:szCs w:val="16"/>
                <w:lang w:val="en-US" w:eastAsia="zh-CN" w:bidi="ar"/>
              </w:rPr>
              <w:t>90%</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96%</w:t>
            </w: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70"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 w:hAnsi="仿宋" w:eastAsia="仿宋" w:cs="仿宋"/>
                <w:i w:val="0"/>
                <w:iCs w:val="0"/>
                <w:color w:val="000000"/>
                <w:sz w:val="16"/>
                <w:szCs w:val="16"/>
                <w:u w:val="none"/>
              </w:rPr>
            </w:pPr>
            <w:r>
              <w:rPr>
                <w:rFonts w:hint="eastAsia" w:ascii="仿宋" w:hAnsi="仿宋" w:eastAsia="仿宋" w:cs="仿宋"/>
                <w:i w:val="0"/>
                <w:iCs w:val="0"/>
                <w:color w:val="000000"/>
                <w:kern w:val="0"/>
                <w:sz w:val="16"/>
                <w:szCs w:val="16"/>
                <w:u w:val="none"/>
                <w:lang w:val="en-US" w:eastAsia="zh-CN" w:bidi="ar"/>
              </w:rPr>
              <w:t>合计</w:t>
            </w:r>
          </w:p>
        </w:tc>
        <w:tc>
          <w:tcPr>
            <w:tcW w:w="250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6"/>
                <w:szCs w:val="16"/>
                <w:u w:val="none"/>
              </w:rPr>
            </w:pPr>
          </w:p>
        </w:tc>
        <w:tc>
          <w:tcPr>
            <w:tcW w:w="41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等线" w:cs="Times New Roman"/>
                <w:i w:val="0"/>
                <w:iCs w:val="0"/>
                <w:color w:val="000000"/>
                <w:sz w:val="16"/>
                <w:szCs w:val="16"/>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100</w:t>
            </w:r>
          </w:p>
        </w:tc>
        <w:tc>
          <w:tcPr>
            <w:tcW w:w="2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lang w:val="en-US" w:eastAsia="zh-CN"/>
              </w:rPr>
            </w:pPr>
            <w:r>
              <w:rPr>
                <w:rFonts w:hint="eastAsia" w:ascii="Times New Roman" w:hAnsi="Times New Roman" w:eastAsia="等线" w:cs="Times New Roman"/>
                <w:i w:val="0"/>
                <w:iCs w:val="0"/>
                <w:color w:val="000000"/>
                <w:sz w:val="16"/>
                <w:szCs w:val="16"/>
                <w:u w:val="none"/>
                <w:lang w:val="en-US" w:eastAsia="zh-CN"/>
              </w:rPr>
              <w:t>97</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等线"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仿宋" w:hAnsi="仿宋" w:eastAsia="仿宋" w:cs="仿宋"/>
                <w:i w:val="0"/>
                <w:iCs w:val="0"/>
                <w:color w:val="000000"/>
                <w:sz w:val="16"/>
                <w:szCs w:val="16"/>
                <w:u w:val="none"/>
              </w:rPr>
            </w:pPr>
            <w:r>
              <w:rPr>
                <w:rStyle w:val="24"/>
                <w:sz w:val="16"/>
                <w:szCs w:val="16"/>
                <w:lang w:val="en-US" w:eastAsia="zh-CN" w:bidi="ar"/>
              </w:rPr>
              <w:t>注：</w:t>
            </w:r>
            <w:r>
              <w:rPr>
                <w:rStyle w:val="25"/>
                <w:rFonts w:eastAsia="仿宋"/>
                <w:sz w:val="16"/>
                <w:szCs w:val="16"/>
                <w:lang w:val="en-US" w:eastAsia="zh-CN" w:bidi="ar"/>
              </w:rPr>
              <w:t>1.</w:t>
            </w:r>
            <w:r>
              <w:rPr>
                <w:rStyle w:val="24"/>
                <w:sz w:val="16"/>
                <w:szCs w:val="16"/>
                <w:lang w:val="en-US" w:eastAsia="zh-CN" w:bidi="ar"/>
              </w:rPr>
              <w:t>自评采取打分评价的形式，满分为</w:t>
            </w:r>
            <w:r>
              <w:rPr>
                <w:rStyle w:val="25"/>
                <w:rFonts w:eastAsia="仿宋"/>
                <w:sz w:val="16"/>
                <w:szCs w:val="16"/>
                <w:lang w:val="en-US" w:eastAsia="zh-CN" w:bidi="ar"/>
              </w:rPr>
              <w:t>100</w:t>
            </w:r>
            <w:r>
              <w:rPr>
                <w:rStyle w:val="24"/>
                <w:sz w:val="16"/>
                <w:szCs w:val="16"/>
                <w:lang w:val="en-US" w:eastAsia="zh-CN" w:bidi="ar"/>
              </w:rPr>
              <w:t>分，各部门（单位）可根据指标的重要程度自主确定各项三级指标的权重分值，各项指标得分加总得出该项 目绩效自评的总分</w:t>
            </w:r>
            <w:r>
              <w:rPr>
                <w:rStyle w:val="25"/>
                <w:rFonts w:eastAsia="仿宋"/>
                <w:sz w:val="16"/>
                <w:szCs w:val="16"/>
                <w:lang w:val="en-US" w:eastAsia="zh-CN" w:bidi="ar"/>
              </w:rPr>
              <w:t>.</w:t>
            </w:r>
            <w:r>
              <w:rPr>
                <w:rStyle w:val="24"/>
                <w:sz w:val="16"/>
                <w:szCs w:val="16"/>
                <w:lang w:val="en-US" w:eastAsia="zh-CN" w:bidi="ar"/>
              </w:rPr>
              <w:t>原则上一级指标分值统一设</w:t>
            </w:r>
            <w:r>
              <w:rPr>
                <w:rStyle w:val="25"/>
                <w:rFonts w:eastAsia="仿宋"/>
                <w:sz w:val="16"/>
                <w:szCs w:val="16"/>
                <w:lang w:val="en-US" w:eastAsia="zh-CN" w:bidi="ar"/>
              </w:rPr>
              <w:t>a</w:t>
            </w:r>
            <w:r>
              <w:rPr>
                <w:rStyle w:val="24"/>
                <w:sz w:val="16"/>
                <w:szCs w:val="16"/>
                <w:lang w:val="en-US" w:eastAsia="zh-CN" w:bidi="ar"/>
              </w:rPr>
              <w:t>为：投入管理指标</w:t>
            </w:r>
            <w:r>
              <w:rPr>
                <w:rStyle w:val="25"/>
                <w:rFonts w:eastAsia="仿宋"/>
                <w:sz w:val="16"/>
                <w:szCs w:val="16"/>
                <w:lang w:val="en-US" w:eastAsia="zh-CN" w:bidi="ar"/>
              </w:rPr>
              <w:t>30</w:t>
            </w:r>
            <w:r>
              <w:rPr>
                <w:rStyle w:val="24"/>
                <w:sz w:val="16"/>
                <w:szCs w:val="16"/>
                <w:lang w:val="en-US" w:eastAsia="zh-CN" w:bidi="ar"/>
              </w:rPr>
              <w:t>分、产出指标</w:t>
            </w:r>
            <w:r>
              <w:rPr>
                <w:rStyle w:val="25"/>
                <w:rFonts w:eastAsia="仿宋"/>
                <w:sz w:val="16"/>
                <w:szCs w:val="16"/>
                <w:lang w:val="en-US" w:eastAsia="zh-CN" w:bidi="ar"/>
              </w:rPr>
              <w:t>25</w:t>
            </w:r>
            <w:r>
              <w:rPr>
                <w:rStyle w:val="24"/>
                <w:sz w:val="16"/>
                <w:szCs w:val="16"/>
                <w:lang w:val="en-US" w:eastAsia="zh-CN" w:bidi="ar"/>
              </w:rPr>
              <w:t>分、效益指标</w:t>
            </w:r>
            <w:r>
              <w:rPr>
                <w:rStyle w:val="25"/>
                <w:rFonts w:eastAsia="仿宋"/>
                <w:sz w:val="16"/>
                <w:szCs w:val="16"/>
                <w:lang w:val="en-US" w:eastAsia="zh-CN" w:bidi="ar"/>
              </w:rPr>
              <w:t>35</w:t>
            </w:r>
            <w:r>
              <w:rPr>
                <w:rStyle w:val="24"/>
                <w:sz w:val="16"/>
                <w:szCs w:val="16"/>
                <w:lang w:val="en-US" w:eastAsia="zh-CN" w:bidi="ar"/>
              </w:rPr>
              <w:t>分、预算执行率</w:t>
            </w:r>
            <w:r>
              <w:rPr>
                <w:rStyle w:val="25"/>
                <w:rFonts w:eastAsia="仿宋"/>
                <w:sz w:val="16"/>
                <w:szCs w:val="16"/>
                <w:lang w:val="en-US" w:eastAsia="zh-CN" w:bidi="ar"/>
              </w:rPr>
              <w:t>10</w:t>
            </w:r>
            <w:r>
              <w:rPr>
                <w:rStyle w:val="24"/>
                <w:sz w:val="16"/>
                <w:szCs w:val="16"/>
                <w:lang w:val="en-US" w:eastAsia="zh-CN" w:bidi="ar"/>
              </w:rPr>
              <w:t>分</w:t>
            </w:r>
            <w:r>
              <w:rPr>
                <w:rStyle w:val="25"/>
                <w:rFonts w:eastAsia="仿宋"/>
                <w:sz w:val="16"/>
                <w:szCs w:val="16"/>
                <w:lang w:val="en-US" w:eastAsia="zh-CN" w:bidi="ar"/>
              </w:rPr>
              <w:t>.2.</w:t>
            </w:r>
            <w:r>
              <w:rPr>
                <w:rStyle w:val="24"/>
                <w:sz w:val="16"/>
                <w:szCs w:val="16"/>
                <w:lang w:val="en-US" w:eastAsia="zh-CN" w:bidi="ar"/>
              </w:rPr>
              <w:t>未完成原因分析及改进 措施：说明偏离目标、不能完成目标的原因及改进措施</w:t>
            </w:r>
            <w:r>
              <w:rPr>
                <w:rStyle w:val="25"/>
                <w:rFonts w:eastAsia="仿宋"/>
                <w:sz w:val="16"/>
                <w:szCs w:val="16"/>
                <w:lang w:val="en-US" w:eastAsia="zh-CN" w:bidi="ar"/>
              </w:rPr>
              <w:t>.3.</w:t>
            </w:r>
            <w:r>
              <w:rPr>
                <w:rStyle w:val="24"/>
                <w:sz w:val="16"/>
                <w:szCs w:val="16"/>
                <w:lang w:val="en-US" w:eastAsia="zh-CN" w:bidi="ar"/>
              </w:rPr>
              <w:t>定性指标根据指标完成情况分为达成预期指标、部分达成预期指标并具有一定效果、未达成 预期指标且效果较差三档，分别按照该指标对应分值区间</w:t>
            </w:r>
            <w:r>
              <w:rPr>
                <w:rStyle w:val="25"/>
                <w:rFonts w:eastAsia="仿宋"/>
                <w:sz w:val="16"/>
                <w:szCs w:val="16"/>
                <w:lang w:val="en-US" w:eastAsia="zh-CN" w:bidi="ar"/>
              </w:rPr>
              <w:t>100%-80% (</w:t>
            </w:r>
            <w:r>
              <w:rPr>
                <w:rStyle w:val="24"/>
                <w:sz w:val="16"/>
                <w:szCs w:val="16"/>
                <w:lang w:val="en-US" w:eastAsia="zh-CN" w:bidi="ar"/>
              </w:rPr>
              <w:t>含</w:t>
            </w:r>
            <w:r>
              <w:rPr>
                <w:rStyle w:val="25"/>
                <w:rFonts w:eastAsia="仿宋"/>
                <w:sz w:val="16"/>
                <w:szCs w:val="16"/>
                <w:lang w:val="en-US" w:eastAsia="zh-CN" w:bidi="ar"/>
              </w:rPr>
              <w:t>)</w:t>
            </w:r>
            <w:r>
              <w:rPr>
                <w:rStyle w:val="24"/>
                <w:sz w:val="16"/>
                <w:szCs w:val="16"/>
                <w:lang w:val="en-US" w:eastAsia="zh-CN" w:bidi="ar"/>
              </w:rPr>
              <w:t>、</w:t>
            </w:r>
            <w:r>
              <w:rPr>
                <w:rStyle w:val="25"/>
                <w:rFonts w:eastAsia="仿宋"/>
                <w:sz w:val="16"/>
                <w:szCs w:val="16"/>
                <w:lang w:val="en-US" w:eastAsia="zh-CN" w:bidi="ar"/>
              </w:rPr>
              <w:t>80%-60% (</w:t>
            </w:r>
            <w:r>
              <w:rPr>
                <w:rStyle w:val="24"/>
                <w:sz w:val="16"/>
                <w:szCs w:val="16"/>
                <w:lang w:val="en-US" w:eastAsia="zh-CN" w:bidi="ar"/>
              </w:rPr>
              <w:t>含）、</w:t>
            </w:r>
            <w:r>
              <w:rPr>
                <w:rStyle w:val="25"/>
                <w:rFonts w:eastAsia="仿宋"/>
                <w:sz w:val="16"/>
                <w:szCs w:val="16"/>
                <w:lang w:val="en-US" w:eastAsia="zh-CN" w:bidi="ar"/>
              </w:rPr>
              <w:t>60%-0%</w:t>
            </w:r>
            <w:r>
              <w:rPr>
                <w:rStyle w:val="24"/>
                <w:sz w:val="16"/>
                <w:szCs w:val="16"/>
                <w:lang w:val="en-US" w:eastAsia="zh-CN" w:bidi="ar"/>
              </w:rPr>
              <w:t>合理确定分值</w:t>
            </w:r>
            <w:r>
              <w:rPr>
                <w:rStyle w:val="25"/>
                <w:rFonts w:eastAsia="仿宋"/>
                <w:sz w:val="16"/>
                <w:szCs w:val="16"/>
                <w:lang w:val="en-US" w:eastAsia="zh-CN" w:bidi="ar"/>
              </w:rPr>
              <w:t>.</w:t>
            </w:r>
            <w:r>
              <w:rPr>
                <w:rStyle w:val="24"/>
                <w:sz w:val="16"/>
                <w:szCs w:val="16"/>
                <w:lang w:val="en-US" w:eastAsia="zh-CN" w:bidi="ar"/>
              </w:rPr>
              <w:t>定量指标完成指标值的，记该指标所赋全部分值，未完成的，按照完成值与指标值的比例计分</w:t>
            </w:r>
            <w:r>
              <w:rPr>
                <w:rStyle w:val="25"/>
                <w:rFonts w:eastAsia="仿宋"/>
                <w:sz w:val="16"/>
                <w:szCs w:val="16"/>
                <w:lang w:val="en-US" w:eastAsia="zh-CN" w:bidi="ar"/>
              </w:rPr>
              <w:t>.</w:t>
            </w:r>
          </w:p>
        </w:tc>
      </w:tr>
    </w:tbl>
    <w:p>
      <w:pPr>
        <w:keepNext w:val="0"/>
        <w:keepLines w:val="0"/>
        <w:widowControl/>
        <w:suppressLineNumbers w:val="0"/>
        <w:jc w:val="right"/>
        <w:rPr>
          <w:rFonts w:hint="eastAsia" w:eastAsiaTheme="minorEastAsia"/>
          <w:lang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jNDIzZjBiNGQzZDI3ZmQ3NmIzZDc5MzY1MTVkMWYifQ=="/>
  </w:docVars>
  <w:rsids>
    <w:rsidRoot w:val="00000000"/>
    <w:rsid w:val="08CE609D"/>
    <w:rsid w:val="0949606C"/>
    <w:rsid w:val="0F5C5EB1"/>
    <w:rsid w:val="1A024ED4"/>
    <w:rsid w:val="1F0E5B71"/>
    <w:rsid w:val="202C29D7"/>
    <w:rsid w:val="27200359"/>
    <w:rsid w:val="29F17706"/>
    <w:rsid w:val="2D4D13D7"/>
    <w:rsid w:val="2E6966E5"/>
    <w:rsid w:val="2E9372BE"/>
    <w:rsid w:val="2EF2356F"/>
    <w:rsid w:val="2FB7481D"/>
    <w:rsid w:val="2FD9622F"/>
    <w:rsid w:val="313C57E0"/>
    <w:rsid w:val="36845C15"/>
    <w:rsid w:val="399C796E"/>
    <w:rsid w:val="3AC13275"/>
    <w:rsid w:val="3CFB49AC"/>
    <w:rsid w:val="40FB7670"/>
    <w:rsid w:val="442E1C1A"/>
    <w:rsid w:val="45136497"/>
    <w:rsid w:val="4A621F44"/>
    <w:rsid w:val="50877036"/>
    <w:rsid w:val="603C0E0F"/>
    <w:rsid w:val="606E1A6E"/>
    <w:rsid w:val="63437D1B"/>
    <w:rsid w:val="683C2438"/>
    <w:rsid w:val="6AD96AB7"/>
    <w:rsid w:val="718F158B"/>
    <w:rsid w:val="73B06B91"/>
    <w:rsid w:val="748957F5"/>
    <w:rsid w:val="7ED66A06"/>
    <w:rsid w:val="7FA72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7">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8">
    <w:name w:val="heading 2"/>
    <w:basedOn w:val="1"/>
    <w:next w:val="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9">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semiHidden/>
    <w:unhideWhenUsed/>
    <w:qFormat/>
    <w:uiPriority w:val="99"/>
    <w:pPr>
      <w:spacing w:after="120"/>
    </w:pPr>
  </w:style>
  <w:style w:type="paragraph" w:styleId="4">
    <w:name w:val="Body Text 2"/>
    <w:basedOn w:val="1"/>
    <w:qFormat/>
    <w:uiPriority w:val="0"/>
    <w:pPr>
      <w:spacing w:after="120" w:line="480" w:lineRule="auto"/>
    </w:pPr>
  </w:style>
  <w:style w:type="paragraph" w:styleId="5">
    <w:name w:val="Body Text First Indent 2"/>
    <w:basedOn w:val="6"/>
    <w:qFormat/>
    <w:uiPriority w:val="0"/>
    <w:pPr>
      <w:ind w:firstLine="420" w:firstLineChars="200"/>
    </w:pPr>
  </w:style>
  <w:style w:type="paragraph" w:styleId="6">
    <w:name w:val="Body Text Indent"/>
    <w:basedOn w:val="1"/>
    <w:qFormat/>
    <w:uiPriority w:val="99"/>
    <w:pPr>
      <w:ind w:firstLine="645"/>
    </w:pPr>
    <w:rPr>
      <w:rFonts w:ascii="仿宋_GB2312" w:eastAsia="仿宋_GB2312" w:cs="仿宋_GB2312"/>
      <w:sz w:val="32"/>
      <w:szCs w:val="32"/>
    </w:rPr>
  </w:style>
  <w:style w:type="paragraph" w:styleId="10">
    <w:name w:val="footer"/>
    <w:basedOn w:val="1"/>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toc 2"/>
    <w:basedOn w:val="1"/>
    <w:next w:val="1"/>
    <w:qFormat/>
    <w:uiPriority w:val="0"/>
    <w:pPr>
      <w:ind w:left="420" w:leftChars="200" w:firstLine="0" w:firstLineChars="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8">
    <w:name w:val="Normal Indent1"/>
    <w:basedOn w:val="1"/>
    <w:qFormat/>
    <w:uiPriority w:val="0"/>
    <w:pPr>
      <w:ind w:firstLine="420"/>
    </w:pPr>
  </w:style>
  <w:style w:type="paragraph" w:customStyle="1" w:styleId="19">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0">
    <w:name w:val="表头"/>
    <w:basedOn w:val="1"/>
    <w:next w:val="1"/>
    <w:qFormat/>
    <w:uiPriority w:val="0"/>
    <w:pPr>
      <w:ind w:firstLine="0" w:firstLineChars="0"/>
      <w:jc w:val="center"/>
    </w:pPr>
  </w:style>
  <w:style w:type="paragraph" w:customStyle="1" w:styleId="21">
    <w:name w:val="表格"/>
    <w:basedOn w:val="1"/>
    <w:next w:val="1"/>
    <w:qFormat/>
    <w:uiPriority w:val="0"/>
    <w:pPr>
      <w:adjustRightInd w:val="0"/>
      <w:snapToGrid w:val="0"/>
      <w:spacing w:line="240" w:lineRule="auto"/>
      <w:ind w:firstLine="0" w:firstLineChars="0"/>
      <w:jc w:val="center"/>
    </w:pPr>
    <w:rPr>
      <w:sz w:val="24"/>
    </w:rPr>
  </w:style>
  <w:style w:type="character" w:customStyle="1" w:styleId="22">
    <w:name w:val="font11"/>
    <w:basedOn w:val="16"/>
    <w:uiPriority w:val="0"/>
    <w:rPr>
      <w:rFonts w:hint="eastAsia" w:ascii="黑体" w:hAnsi="宋体" w:eastAsia="黑体" w:cs="黑体"/>
      <w:b/>
      <w:bCs/>
      <w:color w:val="000000"/>
      <w:sz w:val="32"/>
      <w:szCs w:val="32"/>
      <w:u w:val="none"/>
    </w:rPr>
  </w:style>
  <w:style w:type="character" w:customStyle="1" w:styleId="23">
    <w:name w:val="font91"/>
    <w:basedOn w:val="16"/>
    <w:uiPriority w:val="0"/>
    <w:rPr>
      <w:rFonts w:ascii="Calibri" w:hAnsi="Calibri" w:cs="Calibri"/>
      <w:b/>
      <w:bCs/>
      <w:color w:val="000000"/>
      <w:sz w:val="32"/>
      <w:szCs w:val="32"/>
      <w:u w:val="none"/>
    </w:rPr>
  </w:style>
  <w:style w:type="character" w:customStyle="1" w:styleId="24">
    <w:name w:val="font51"/>
    <w:basedOn w:val="16"/>
    <w:uiPriority w:val="0"/>
    <w:rPr>
      <w:rFonts w:hint="eastAsia" w:ascii="仿宋" w:hAnsi="仿宋" w:eastAsia="仿宋" w:cs="仿宋"/>
      <w:color w:val="000000"/>
      <w:sz w:val="28"/>
      <w:szCs w:val="28"/>
      <w:u w:val="none"/>
    </w:rPr>
  </w:style>
  <w:style w:type="character" w:customStyle="1" w:styleId="25">
    <w:name w:val="font81"/>
    <w:basedOn w:val="16"/>
    <w:uiPriority w:val="0"/>
    <w:rPr>
      <w:rFonts w:hint="default" w:ascii="Times New Roman" w:hAnsi="Times New Roman" w:cs="Times New Roman"/>
      <w:color w:val="000000"/>
      <w:sz w:val="28"/>
      <w:szCs w:val="28"/>
      <w:u w:val="none"/>
    </w:rPr>
  </w:style>
  <w:style w:type="character" w:customStyle="1" w:styleId="26">
    <w:name w:val="font71"/>
    <w:basedOn w:val="16"/>
    <w:uiPriority w:val="0"/>
    <w:rPr>
      <w:rFonts w:hint="eastAsia" w:ascii="仿宋" w:hAnsi="仿宋" w:eastAsia="仿宋" w:cs="仿宋"/>
      <w:color w:val="FF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11274</Words>
  <Characters>12024</Characters>
  <Lines>0</Lines>
  <Paragraphs>0</Paragraphs>
  <TotalTime>7</TotalTime>
  <ScaleCrop>false</ScaleCrop>
  <LinksUpToDate>false</LinksUpToDate>
  <CharactersWithSpaces>12218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2022-06-13T04:20:00Z</dcterms:created>
  <dc:creator>Administrator</dc:creator>
  <cp:lastModifiedBy>萌她耙</cp:lastModifiedBy>
  <dcterms:modified xsi:type="dcterms:W3CDTF">2022-08-25T08:31:52Z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09D48B2259E14D75AB4F518454AABA25</vt:lpwstr>
  </property>
</Properties>
</file>