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pPr>
      <w:bookmarkStart w:id="0" w:name="_Toc11908"/>
    </w:p>
    <w:p>
      <w:pPr>
        <w:ind w:firstLine="0" w:firstLineChars="0"/>
        <w:jc w:val="center"/>
        <w:rPr>
          <w:rFonts w:ascii="宋体" w:hAnsi="宋体" w:eastAsia="宋体"/>
          <w:b/>
          <w:sz w:val="52"/>
          <w:szCs w:val="52"/>
        </w:rPr>
      </w:pPr>
    </w:p>
    <w:p>
      <w:pPr>
        <w:pStyle w:val="24"/>
        <w:rPr>
          <w:rFonts w:hint="eastAsia" w:ascii="宋体" w:hAnsi="宋体" w:cs="宋体"/>
          <w:sz w:val="52"/>
          <w:szCs w:val="52"/>
          <w:lang w:eastAsia="zh-CN"/>
        </w:rPr>
      </w:pPr>
      <w:r>
        <w:rPr>
          <w:rFonts w:hint="eastAsia" w:ascii="宋体" w:hAnsi="宋体" w:cs="宋体"/>
          <w:sz w:val="52"/>
          <w:szCs w:val="52"/>
          <w:lang w:eastAsia="zh-CN"/>
        </w:rPr>
        <w:t>中共太康县委党史研究室</w:t>
      </w:r>
    </w:p>
    <w:p>
      <w:pPr>
        <w:pStyle w:val="24"/>
        <w:rPr>
          <w:rFonts w:hint="eastAsia" w:ascii="宋体" w:hAnsi="宋体" w:eastAsia="宋体" w:cs="宋体"/>
          <w:sz w:val="52"/>
          <w:szCs w:val="52"/>
          <w:lang w:val="en-US" w:eastAsia="zh-CN"/>
        </w:rPr>
      </w:pPr>
      <w:r>
        <w:rPr>
          <w:rFonts w:ascii="宋体" w:hAnsi="宋体" w:cs="宋体"/>
          <w:sz w:val="52"/>
          <w:szCs w:val="52"/>
        </w:rPr>
        <w:t>202</w:t>
      </w:r>
      <w:r>
        <w:rPr>
          <w:rFonts w:hint="eastAsia" w:ascii="宋体" w:hAnsi="宋体" w:cs="宋体"/>
          <w:sz w:val="52"/>
          <w:szCs w:val="52"/>
          <w:lang w:val="en-US" w:eastAsia="zh-CN"/>
        </w:rPr>
        <w:t>1</w:t>
      </w:r>
      <w:r>
        <w:rPr>
          <w:rFonts w:ascii="宋体" w:hAnsi="宋体" w:cs="宋体"/>
          <w:sz w:val="52"/>
          <w:szCs w:val="52"/>
        </w:rPr>
        <w:t>年度</w:t>
      </w:r>
      <w:r>
        <w:rPr>
          <w:rFonts w:hint="eastAsia" w:ascii="宋体" w:hAnsi="宋体" w:cs="宋体"/>
          <w:sz w:val="52"/>
          <w:szCs w:val="52"/>
          <w:lang w:eastAsia="zh-CN"/>
        </w:rPr>
        <w:t>党史宣传教育经费</w:t>
      </w:r>
    </w:p>
    <w:p>
      <w:pPr>
        <w:pStyle w:val="24"/>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6"/>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both"/>
        <w:rPr>
          <w:rFonts w:hint="eastAsia" w:ascii="宋体" w:hAnsi="宋体" w:eastAsia="宋体" w:cstheme="minorBidi"/>
          <w:b/>
          <w:bCs/>
          <w:kern w:val="2"/>
          <w:sz w:val="44"/>
          <w:szCs w:val="44"/>
          <w:highlight w:val="none"/>
          <w:lang w:val="en-US" w:eastAsia="zh-CN" w:bidi="ar-SA"/>
        </w:rPr>
      </w:pPr>
    </w:p>
    <w:p>
      <w:pPr>
        <w:pStyle w:val="24"/>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自评单位：</w:t>
      </w:r>
      <w:r>
        <w:rPr>
          <w:rFonts w:hint="eastAsia" w:ascii="宋体" w:hAnsi="宋体" w:cstheme="minorBidi"/>
          <w:b/>
          <w:bCs/>
          <w:kern w:val="2"/>
          <w:sz w:val="44"/>
          <w:szCs w:val="44"/>
          <w:highlight w:val="none"/>
          <w:lang w:val="en-US" w:eastAsia="zh-CN" w:bidi="ar-SA"/>
        </w:rPr>
        <w:t>中共太康县委党史研究室</w:t>
      </w:r>
    </w:p>
    <w:p>
      <w:pPr>
        <w:ind w:firstLine="1767" w:firstLineChars="400"/>
        <w:jc w:val="both"/>
        <w:rPr>
          <w:rFonts w:hint="eastAsia" w:ascii="宋体" w:hAnsi="宋体" w:eastAsia="宋体" w:cstheme="minorBidi"/>
          <w:b/>
          <w:bCs/>
          <w:kern w:val="2"/>
          <w:sz w:val="44"/>
          <w:szCs w:val="44"/>
          <w:highlight w:val="none"/>
          <w:lang w:val="en-US" w:eastAsia="zh-CN" w:bidi="ar-SA"/>
        </w:rPr>
      </w:pPr>
      <w:r>
        <w:rPr>
          <w:rFonts w:hint="eastAsia" w:ascii="宋体" w:hAnsi="宋体" w:eastAsia="宋体" w:cstheme="minorBidi"/>
          <w:b/>
          <w:bCs/>
          <w:kern w:val="2"/>
          <w:sz w:val="44"/>
          <w:szCs w:val="44"/>
          <w:highlight w:val="none"/>
          <w:lang w:val="en-US" w:eastAsia="zh-CN" w:bidi="ar-SA"/>
        </w:rPr>
        <w:t>日    期：2022年5月</w:t>
      </w:r>
    </w:p>
    <w:p>
      <w:pPr>
        <w:pStyle w:val="10"/>
        <w:rPr>
          <w:rFonts w:hint="eastAsia" w:ascii="宋体" w:hAnsi="宋体" w:eastAsia="宋体" w:cstheme="minorBidi"/>
          <w:b/>
          <w:bCs/>
          <w:kern w:val="2"/>
          <w:sz w:val="44"/>
          <w:szCs w:val="4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1</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4</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5</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7</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"_Toc24402" </w:instrText>
      </w:r>
      <w:r>
        <w:fldChar w:fldCharType="separate"/>
      </w:r>
      <w:r>
        <w:rPr>
          <w:rFonts w:hint="eastAsia"/>
        </w:rPr>
        <w:t>（三）分析原因，提高效率</w:t>
      </w:r>
      <w:r>
        <w:tab/>
      </w:r>
      <w:r>
        <w:fldChar w:fldCharType="begin"/>
      </w:r>
      <w:r>
        <w:instrText xml:space="preserve"> PAGEREF _Toc24402 \h </w:instrText>
      </w:r>
      <w:r>
        <w:fldChar w:fldCharType="separate"/>
      </w:r>
      <w:r>
        <w:t>9</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9</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10</w:t>
      </w:r>
      <w:r>
        <w:fldChar w:fldCharType="end"/>
      </w:r>
      <w:r>
        <w:fldChar w:fldCharType="end"/>
      </w:r>
    </w:p>
    <w:p>
      <w:pPr>
        <w:ind w:firstLine="640"/>
        <w:sectPr>
          <w:footerReference r:id="rId3"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79333431"/>
      <w:bookmarkStart w:id="4" w:name="_Toc8110"/>
      <w:bookmarkStart w:id="5" w:name="_Toc9575"/>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hint="eastAsia"/>
        </w:rPr>
      </w:pPr>
      <w:r>
        <w:rPr>
          <w:rFonts w:hint="eastAsia"/>
          <w:lang w:eastAsia="zh-CN"/>
        </w:rPr>
        <w:t>党史宣传教育工作是党的一项重要工作，是党的建设不可缺少的组成部分，做好新形势下党史宣传教育工作，充分发挥党史“以史为鉴，资政育人”的作用，用党的伟大成就教育人，用党的优良传统教育人</w:t>
      </w:r>
    </w:p>
    <w:p>
      <w:pPr>
        <w:pStyle w:val="4"/>
        <w:ind w:firstLine="643"/>
      </w:pPr>
      <w:bookmarkStart w:id="7" w:name="_Toc79333433"/>
      <w:r>
        <w:rPr>
          <w:rFonts w:hint="eastAsia"/>
        </w:rPr>
        <w:t>2、项目实施内容</w:t>
      </w:r>
      <w:bookmarkEnd w:id="7"/>
    </w:p>
    <w:p>
      <w:pPr>
        <w:ind w:firstLine="640"/>
        <w:rPr>
          <w:rFonts w:hint="default"/>
          <w:lang w:val="en-US" w:eastAsia="zh-CN"/>
        </w:rPr>
      </w:pPr>
      <w:bookmarkStart w:id="8" w:name="_Toc14372"/>
      <w:bookmarkStart w:id="9" w:name="_Toc79333434"/>
      <w:bookmarkStart w:id="10" w:name="_Toc17607"/>
      <w:r>
        <w:rPr>
          <w:rFonts w:hint="eastAsia"/>
          <w:lang w:val="en-US" w:eastAsia="zh-CN"/>
        </w:rPr>
        <w:t>出版《红色水东》、《中共太康县史》（1919.5-1949.10）、《太康重大历史事件》、《太康县党组织发展历程》、《太康党史百年大事记》、《党史知识手册》</w:t>
      </w:r>
    </w:p>
    <w:p>
      <w:pPr>
        <w:ind w:firstLine="640"/>
        <w:rPr>
          <w:rFonts w:hint="eastAsia"/>
          <w:lang w:eastAsia="zh-CN"/>
        </w:rPr>
      </w:pPr>
      <w:r>
        <w:rPr>
          <w:rFonts w:hint="eastAsia"/>
          <w:lang w:eastAsia="zh-CN"/>
        </w:rPr>
        <w:t>。</w:t>
      </w:r>
    </w:p>
    <w:p>
      <w:pPr>
        <w:pStyle w:val="3"/>
        <w:rPr>
          <w:rFonts w:hint="eastAsia" w:ascii="Arial" w:hAnsi="Arial" w:eastAsia="宋体" w:cs="Arial"/>
          <w:i w:val="0"/>
          <w:iCs w:val="0"/>
          <w:caps w:val="0"/>
          <w:color w:val="404040"/>
          <w:spacing w:val="0"/>
          <w:sz w:val="27"/>
          <w:szCs w:val="27"/>
          <w:lang w:val="en-US" w:eastAsia="zh-CN"/>
        </w:rPr>
      </w:pPr>
    </w:p>
    <w:p>
      <w:pPr>
        <w:pStyle w:val="3"/>
      </w:pPr>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cs="仿宋"/>
          <w:sz w:val="32"/>
          <w:szCs w:val="32"/>
          <w:highlight w:val="none"/>
          <w:lang w:val="en-US" w:eastAsia="zh-CN"/>
        </w:rPr>
        <w:t>47</w:t>
      </w:r>
      <w:r>
        <w:rPr>
          <w:rFonts w:hint="eastAsia"/>
          <w:highlight w:val="none"/>
        </w:rPr>
        <w:t>万元，当年实际执行</w:t>
      </w:r>
      <w:r>
        <w:rPr>
          <w:rFonts w:hint="eastAsia"/>
          <w:highlight w:val="none"/>
          <w:lang w:val="en-US" w:eastAsia="zh-CN"/>
        </w:rPr>
        <w:t>47</w:t>
      </w:r>
      <w:r>
        <w:rPr>
          <w:rFonts w:hint="eastAsia"/>
          <w:highlight w:val="none"/>
        </w:rPr>
        <w:t>万元</w:t>
      </w:r>
      <w:r>
        <w:rPr>
          <w:rFonts w:hint="eastAsia"/>
          <w:highlight w:val="none"/>
          <w:lang w:eastAsia="zh-CN"/>
        </w:rPr>
        <w:t>，资金到位率</w:t>
      </w:r>
      <w:r>
        <w:rPr>
          <w:rFonts w:hint="eastAsia"/>
          <w:highlight w:val="none"/>
          <w:lang w:val="en-US" w:eastAsia="zh-CN"/>
        </w:rPr>
        <w:t>100%</w:t>
      </w:r>
      <w:r>
        <w:rPr>
          <w:rFonts w:hint="eastAsia"/>
          <w:highlight w:val="none"/>
        </w:rPr>
        <w:t>。</w:t>
      </w:r>
    </w:p>
    <w:p>
      <w:pPr>
        <w:pStyle w:val="4"/>
        <w:ind w:firstLine="643"/>
      </w:pPr>
      <w:bookmarkStart w:id="13" w:name="_Toc18098"/>
      <w:bookmarkStart w:id="14" w:name="_Toc79333436"/>
      <w:r>
        <w:rPr>
          <w:rFonts w:hint="eastAsia"/>
        </w:rPr>
        <w:t>2、项目预算执行情况</w:t>
      </w:r>
      <w:bookmarkEnd w:id="13"/>
      <w:bookmarkEnd w:id="14"/>
    </w:p>
    <w:p>
      <w:pPr>
        <w:ind w:firstLine="640"/>
        <w:jc w:val="left"/>
        <w:rPr>
          <w:highlight w:val="none"/>
        </w:rPr>
      </w:pPr>
      <w:r>
        <w:rPr>
          <w:rFonts w:hint="eastAsia"/>
          <w:highlight w:val="none"/>
          <w:lang w:eastAsia="zh-CN"/>
        </w:rPr>
        <w:t>本项目经费，资金已按照年初预算拨付</w:t>
      </w:r>
      <w:r>
        <w:rPr>
          <w:rFonts w:hint="eastAsia"/>
          <w:highlight w:val="none"/>
          <w:lang w:val="en-US" w:eastAsia="zh-CN"/>
        </w:rPr>
        <w:t>47万元，</w:t>
      </w:r>
      <w:r>
        <w:rPr>
          <w:rFonts w:hint="eastAsia"/>
          <w:highlight w:val="none"/>
        </w:rPr>
        <w:t>项目实际支出</w:t>
      </w:r>
      <w:r>
        <w:rPr>
          <w:rFonts w:hint="eastAsia" w:cs="仿宋"/>
          <w:sz w:val="32"/>
          <w:szCs w:val="32"/>
          <w:highlight w:val="none"/>
          <w:lang w:val="en-US" w:eastAsia="zh-CN"/>
        </w:rPr>
        <w:t>47</w:t>
      </w:r>
      <w:r>
        <w:rPr>
          <w:rFonts w:hint="eastAsia"/>
          <w:highlight w:val="none"/>
        </w:rPr>
        <w:t>万元</w:t>
      </w:r>
      <w:r>
        <w:rPr>
          <w:rFonts w:hint="eastAsia"/>
          <w:highlight w:val="none"/>
          <w:lang w:eastAsia="zh-CN"/>
        </w:rPr>
        <w:t>，资金执行率为</w:t>
      </w:r>
      <w:r>
        <w:rPr>
          <w:rFonts w:hint="eastAsia"/>
          <w:highlight w:val="none"/>
          <w:lang w:val="en-US" w:eastAsia="zh-CN"/>
        </w:rPr>
        <w:t>100%</w:t>
      </w:r>
      <w:r>
        <w:rPr>
          <w:rFonts w:hint="eastAsia"/>
          <w:highlight w:val="none"/>
        </w:rPr>
        <w:t>。</w:t>
      </w:r>
    </w:p>
    <w:p>
      <w:pPr>
        <w:pStyle w:val="2"/>
      </w:pPr>
      <w:bookmarkStart w:id="15" w:name="_Toc10420"/>
      <w:bookmarkStart w:id="16" w:name="_Toc1209"/>
      <w:bookmarkStart w:id="17" w:name="_Toc75871361"/>
      <w:bookmarkStart w:id="18" w:name="_Toc79333437"/>
      <w:r>
        <w:rPr>
          <w:rFonts w:hint="eastAsia"/>
        </w:rPr>
        <w:t>二、绩效自评工作开展情况</w:t>
      </w:r>
      <w:bookmarkEnd w:id="15"/>
      <w:bookmarkEnd w:id="16"/>
      <w:bookmarkEnd w:id="17"/>
      <w:bookmarkEnd w:id="18"/>
    </w:p>
    <w:p>
      <w:pPr>
        <w:pStyle w:val="3"/>
      </w:pPr>
      <w:bookmarkStart w:id="19" w:name="_Toc2270"/>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5871363"/>
      <w:bookmarkStart w:id="23" w:name="_Toc5617"/>
      <w:bookmarkStart w:id="24" w:name="_Toc3060"/>
      <w:bookmarkStart w:id="25" w:name="_Toc79333439"/>
      <w:r>
        <w:rPr>
          <w:rFonts w:hint="eastAsia"/>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highlight w:val="none"/>
          <w:lang w:eastAsia="zh-CN"/>
        </w:rPr>
        <w:t>党史宣传教育</w:t>
      </w:r>
      <w:r>
        <w:rPr>
          <w:rFonts w:hint="eastAsia"/>
          <w:highlight w:val="none"/>
        </w:rPr>
        <w:t>项目专项资金，评价范围为涉及该项目管理及其预算资金</w:t>
      </w:r>
      <w:r>
        <w:rPr>
          <w:rFonts w:hint="eastAsia"/>
          <w:highlight w:val="none"/>
          <w:lang w:val="en-US" w:eastAsia="zh-CN"/>
        </w:rPr>
        <w:t>47</w:t>
      </w:r>
      <w:r>
        <w:rPr>
          <w:rFonts w:hint="eastAsia"/>
          <w:highlight w:val="none"/>
        </w:rPr>
        <w:t>万元的使用情况。</w:t>
      </w:r>
    </w:p>
    <w:p>
      <w:pPr>
        <w:pStyle w:val="3"/>
      </w:pPr>
      <w:bookmarkStart w:id="26" w:name="_Toc75871364"/>
      <w:bookmarkStart w:id="27" w:name="_Toc12774"/>
      <w:bookmarkStart w:id="28" w:name="_Toc8160"/>
      <w:bookmarkStart w:id="29" w:name="_Toc7933344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13521"/>
      <w:bookmarkStart w:id="31" w:name="_Toc79333441"/>
      <w:bookmarkStart w:id="32" w:name="_Toc9578"/>
      <w:bookmarkStart w:id="33" w:name="_Toc75871365"/>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5871366"/>
      <w:bookmarkStart w:id="36" w:name="_Toc489"/>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24506"/>
      <w:bookmarkStart w:id="39" w:name="_Toc79333443"/>
      <w:r>
        <w:rPr>
          <w:rFonts w:hint="eastAsia"/>
        </w:rPr>
        <w:t>三、绩效自评结果及分析</w:t>
      </w:r>
      <w:bookmarkEnd w:id="38"/>
      <w:bookmarkEnd w:id="39"/>
    </w:p>
    <w:p>
      <w:pPr>
        <w:pStyle w:val="3"/>
      </w:pPr>
      <w:bookmarkStart w:id="40" w:name="_Toc25356"/>
      <w:bookmarkStart w:id="41" w:name="_Toc4028"/>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w:t>
      </w:r>
      <w:r>
        <w:rPr>
          <w:rFonts w:hint="eastAsia"/>
          <w:highlight w:val="none"/>
          <w:lang w:val="en-US" w:eastAsia="zh-CN"/>
        </w:rPr>
        <w:t>98</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w:t>
      </w:r>
      <w:r>
        <w:rPr>
          <w:rFonts w:hint="eastAsia"/>
        </w:rPr>
        <w:t>所示</w:t>
      </w:r>
    </w:p>
    <w:p>
      <w:pPr>
        <w:ind w:firstLine="640"/>
      </w:pPr>
    </w:p>
    <w:p>
      <w:pPr>
        <w:pStyle w:val="16"/>
        <w:ind w:firstLine="643"/>
      </w:pPr>
      <w:r>
        <w:rPr>
          <w:rFonts w:hint="eastAsia"/>
        </w:rPr>
        <w:t>表3.1 绩效自评价得分表</w:t>
      </w:r>
    </w:p>
    <w:tbl>
      <w:tblPr>
        <w:tblStyle w:val="13"/>
        <w:tblW w:w="8444" w:type="dxa"/>
        <w:jc w:val="center"/>
        <w:tblInd w:w="0" w:type="dxa"/>
        <w:tblLayout w:type="fixed"/>
        <w:tblCellMar>
          <w:top w:w="0" w:type="dxa"/>
          <w:left w:w="108" w:type="dxa"/>
          <w:bottom w:w="0" w:type="dxa"/>
          <w:right w:w="108" w:type="dxa"/>
        </w:tblCellMar>
      </w:tblPr>
      <w:tblGrid>
        <w:gridCol w:w="1305"/>
        <w:gridCol w:w="1603"/>
        <w:gridCol w:w="2724"/>
        <w:gridCol w:w="1439"/>
        <w:gridCol w:w="1373"/>
      </w:tblGrid>
      <w:tr>
        <w:tblPrEx>
          <w:tblLayout w:type="fixed"/>
          <w:tblCellMar>
            <w:top w:w="0" w:type="dxa"/>
            <w:left w:w="108" w:type="dxa"/>
            <w:bottom w:w="0" w:type="dxa"/>
            <w:right w:w="108" w:type="dxa"/>
          </w:tblCellMar>
        </w:tblPrEx>
        <w:trPr>
          <w:trHeight w:val="567" w:hRule="atLeast"/>
          <w:tblHeader/>
          <w:jc w:val="center"/>
        </w:trPr>
        <w:tc>
          <w:tcPr>
            <w:tcW w:w="1305"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pPr>
            <w:r>
              <w:rPr>
                <w:rFonts w:hint="eastAsia"/>
              </w:rPr>
              <w:t>一级指标</w:t>
            </w:r>
          </w:p>
        </w:tc>
        <w:tc>
          <w:tcPr>
            <w:tcW w:w="160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二级指标</w:t>
            </w:r>
          </w:p>
        </w:tc>
        <w:tc>
          <w:tcPr>
            <w:tcW w:w="272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三级指标</w:t>
            </w:r>
          </w:p>
        </w:tc>
        <w:tc>
          <w:tcPr>
            <w:tcW w:w="14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标准分值</w:t>
            </w:r>
          </w:p>
        </w:tc>
        <w:tc>
          <w:tcPr>
            <w:tcW w:w="1373"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实际得分</w:t>
            </w: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left w:val="single" w:color="auto" w:sz="4" w:space="0"/>
              <w:right w:val="single" w:color="auto" w:sz="4" w:space="0"/>
            </w:tcBorders>
            <w:vAlign w:val="center"/>
          </w:tcPr>
          <w:p>
            <w:pPr>
              <w:pStyle w:val="15"/>
              <w:rPr>
                <w:rFonts w:hint="eastAsia"/>
                <w:highlight w:val="none"/>
              </w:rPr>
            </w:pPr>
          </w:p>
          <w:p>
            <w:pPr>
              <w:pStyle w:val="15"/>
              <w:rPr>
                <w:rFonts w:hint="eastAsia"/>
                <w:highlight w:val="none"/>
              </w:rPr>
            </w:pPr>
          </w:p>
          <w:p>
            <w:pPr>
              <w:pStyle w:val="15"/>
              <w:rPr>
                <w:rFonts w:hint="eastAsia"/>
                <w:highlight w:val="none"/>
              </w:rPr>
            </w:pPr>
          </w:p>
          <w:p>
            <w:pPr>
              <w:pStyle w:val="15"/>
              <w:rPr>
                <w:rFonts w:hint="eastAsia"/>
                <w:highlight w:val="none"/>
              </w:rPr>
            </w:pPr>
          </w:p>
          <w:p>
            <w:pPr>
              <w:pStyle w:val="15"/>
              <w:rPr>
                <w:rFonts w:hint="eastAsia"/>
                <w:highlight w:val="none"/>
              </w:rPr>
            </w:pPr>
          </w:p>
          <w:p>
            <w:pPr>
              <w:pStyle w:val="15"/>
              <w:rPr>
                <w:highlight w:val="none"/>
              </w:rPr>
            </w:pPr>
            <w:r>
              <w:rPr>
                <w:sz w:val="24"/>
                <w:highlight w:val="none"/>
              </w:rPr>
              <mc:AlternateContent>
                <mc:Choice Requires="wps">
                  <w:drawing>
                    <wp:anchor distT="0" distB="0" distL="114300" distR="114300" simplePos="0" relativeHeight="251658240" behindDoc="0" locked="0" layoutInCell="1" allowOverlap="1">
                      <wp:simplePos x="0" y="0"/>
                      <wp:positionH relativeFrom="column">
                        <wp:posOffset>-62230</wp:posOffset>
                      </wp:positionH>
                      <wp:positionV relativeFrom="paragraph">
                        <wp:posOffset>1438275</wp:posOffset>
                      </wp:positionV>
                      <wp:extent cx="897255" cy="7620"/>
                      <wp:effectExtent l="0" t="0" r="0" b="0"/>
                      <wp:wrapNone/>
                      <wp:docPr id="4" name="直接连接符 4"/>
                      <wp:cNvGraphicFramePr/>
                      <a:graphic xmlns:a="http://schemas.openxmlformats.org/drawingml/2006/main">
                        <a:graphicData uri="http://schemas.microsoft.com/office/word/2010/wordprocessingShape">
                          <wps:wsp>
                            <wps:cNvCnPr/>
                            <wps:spPr>
                              <a:xfrm flipV="1">
                                <a:off x="1097280" y="5514340"/>
                                <a:ext cx="897255"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9pt;margin-top:113.25pt;height:0.6pt;width:70.65pt;z-index:251658240;mso-width-relative:page;mso-height-relative:page;" filled="f" stroked="t" coordsize="21600,21600" o:gfxdata="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uzxqPYAAAACgEAAA8A&#10;AAAAAAAAAQAgAAAAIgAAAGRycy9kb3ducmV2LnhtbFBLAQIUABQAAAAIAIdO4kDl+BAG3gEAAHsD&#10;AAAOAAAAAAAAAAEAIAAAACcBAABkcnMvZTJvRG9jLnhtbFBLBQYAAAAABgAGAFkBAAB3BQAAAAA=&#10;">
                      <v:fill on="f" focussize="0,0"/>
                      <v:stroke weight="0.5pt" color="#000000 [3200]" miterlimit="8" joinstyle="miter"/>
                      <v:imagedata o:title=""/>
                      <o:lock v:ext="edit" aspectratio="f"/>
                    </v:line>
                  </w:pict>
                </mc:Fallback>
              </mc:AlternateContent>
            </w:r>
            <w:r>
              <w:rPr>
                <w:rFonts w:hint="eastAsia"/>
                <w:highlight w:val="none"/>
              </w:rPr>
              <w:t>产出指标</w:t>
            </w:r>
          </w:p>
        </w:tc>
        <w:tc>
          <w:tcPr>
            <w:tcW w:w="1603" w:type="dxa"/>
            <w:vMerge w:val="restar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ascii="Calibri" w:hAnsi="Calibri" w:eastAsia="宋体" w:cs="Times New Roman"/>
                <w:kern w:val="2"/>
                <w:sz w:val="18"/>
                <w:szCs w:val="18"/>
                <w:highlight w:val="none"/>
                <w:lang w:val="en-US" w:eastAsia="zh-CN" w:bidi="ar-SA"/>
              </w:rPr>
            </w:pPr>
            <w:r>
              <w:rPr>
                <w:rFonts w:hint="eastAsia" w:ascii="宋体" w:hAnsi="宋体" w:cs="宋体"/>
                <w:color w:val="000000"/>
                <w:kern w:val="0"/>
                <w:sz w:val="18"/>
                <w:szCs w:val="18"/>
                <w:highlight w:val="none"/>
                <w:lang w:val="en-US" w:eastAsia="zh-CN"/>
              </w:rPr>
              <w:t>党史宣传教育覆盖面</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5"/>
              <w:rPr>
                <w:rFonts w:hint="eastAsia"/>
                <w:highlight w:val="none"/>
              </w:rPr>
            </w:pPr>
          </w:p>
        </w:tc>
        <w:tc>
          <w:tcPr>
            <w:tcW w:w="1603" w:type="dxa"/>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spacing w:line="240" w:lineRule="exact"/>
              <w:ind w:firstLine="360" w:firstLineChars="200"/>
              <w:jc w:val="left"/>
              <w:rPr>
                <w:rFonts w:hint="eastAsia" w:ascii="宋体" w:hAnsi="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活动开展场次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5"/>
              <w:rPr>
                <w:highlight w:val="none"/>
              </w:rPr>
            </w:pPr>
          </w:p>
        </w:tc>
        <w:tc>
          <w:tcPr>
            <w:tcW w:w="1603" w:type="dxa"/>
            <w:vMerge w:val="continue"/>
            <w:tcBorders>
              <w:left w:val="single" w:color="auto" w:sz="4" w:space="0"/>
              <w:right w:val="single" w:color="auto" w:sz="4" w:space="0"/>
            </w:tcBorders>
            <w:vAlign w:val="center"/>
          </w:tcPr>
          <w:p>
            <w:pPr>
              <w:pStyle w:val="15"/>
              <w:rPr>
                <w:highlight w:val="none"/>
              </w:rPr>
            </w:pPr>
          </w:p>
        </w:tc>
        <w:tc>
          <w:tcPr>
            <w:tcW w:w="2724" w:type="dxa"/>
            <w:tcBorders>
              <w:top w:val="nil"/>
              <w:left w:val="nil"/>
              <w:bottom w:val="single" w:color="auto" w:sz="4" w:space="0"/>
              <w:right w:val="single" w:color="auto" w:sz="4" w:space="0"/>
            </w:tcBorders>
            <w:shd w:val="clear" w:color="auto" w:fill="auto"/>
            <w:vAlign w:val="center"/>
          </w:tcPr>
          <w:p>
            <w:pPr>
              <w:widowControl/>
              <w:tabs>
                <w:tab w:val="center" w:pos="560"/>
              </w:tabs>
              <w:spacing w:line="240" w:lineRule="exact"/>
              <w:ind w:firstLine="360" w:firstLineChars="200"/>
              <w:jc w:val="both"/>
              <w:rPr>
                <w:rFonts w:hint="eastAsia" w:ascii="Calibri" w:hAnsi="Calibri" w:eastAsia="宋体" w:cs="Times New Roman"/>
                <w:kern w:val="2"/>
                <w:sz w:val="18"/>
                <w:szCs w:val="18"/>
                <w:highlight w:val="none"/>
                <w:lang w:val="en-US" w:eastAsia="zh-CN" w:bidi="ar-SA"/>
              </w:rPr>
            </w:pPr>
            <w:r>
              <w:rPr>
                <w:rFonts w:hint="eastAsia"/>
                <w:sz w:val="18"/>
                <w:szCs w:val="18"/>
                <w:highlight w:val="none"/>
                <w:lang w:eastAsia="zh-CN"/>
              </w:rPr>
              <w:t>活动参与人次</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5"/>
              <w:rPr>
                <w:highlight w:val="none"/>
              </w:rPr>
            </w:pPr>
          </w:p>
        </w:tc>
        <w:tc>
          <w:tcPr>
            <w:tcW w:w="1603" w:type="dxa"/>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2724" w:type="dxa"/>
            <w:tcBorders>
              <w:top w:val="nil"/>
              <w:left w:val="nil"/>
              <w:bottom w:val="single" w:color="auto" w:sz="4" w:space="0"/>
              <w:right w:val="single" w:color="auto" w:sz="4" w:space="0"/>
            </w:tcBorders>
            <w:shd w:val="clear" w:color="auto" w:fill="auto"/>
            <w:vAlign w:val="center"/>
          </w:tcPr>
          <w:p>
            <w:pPr>
              <w:pStyle w:val="15"/>
              <w:rPr>
                <w:rFonts w:hint="eastAsia" w:eastAsia="仿宋"/>
                <w:highlight w:val="none"/>
                <w:lang w:eastAsia="zh-CN"/>
              </w:rPr>
            </w:pPr>
            <w:r>
              <w:rPr>
                <w:rFonts w:hint="eastAsia"/>
                <w:highlight w:val="none"/>
                <w:lang w:eastAsia="zh-CN"/>
              </w:rPr>
              <w:t>党建工作覆盖率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vAlign w:val="center"/>
          </w:tcPr>
          <w:p>
            <w:pPr>
              <w:pStyle w:val="15"/>
              <w:rPr>
                <w:highlight w:val="none"/>
              </w:rPr>
            </w:pPr>
          </w:p>
        </w:tc>
        <w:tc>
          <w:tcPr>
            <w:tcW w:w="1603" w:type="dxa"/>
            <w:vMerge w:val="continue"/>
            <w:tcBorders>
              <w:left w:val="single" w:color="auto" w:sz="4" w:space="0"/>
              <w:right w:val="single" w:color="auto" w:sz="4" w:space="0"/>
            </w:tcBorders>
            <w:vAlign w:val="center"/>
          </w:tcPr>
          <w:p>
            <w:pPr>
              <w:pStyle w:val="15"/>
              <w:rPr>
                <w:highlight w:val="none"/>
              </w:rPr>
            </w:pPr>
          </w:p>
        </w:tc>
        <w:tc>
          <w:tcPr>
            <w:tcW w:w="2724" w:type="dxa"/>
            <w:tcBorders>
              <w:top w:val="nil"/>
              <w:left w:val="nil"/>
              <w:bottom w:val="single" w:color="auto" w:sz="4" w:space="0"/>
              <w:right w:val="single" w:color="auto" w:sz="4" w:space="0"/>
            </w:tcBorders>
            <w:shd w:val="clear" w:color="auto" w:fill="auto"/>
            <w:vAlign w:val="center"/>
          </w:tcPr>
          <w:p>
            <w:pPr>
              <w:pStyle w:val="15"/>
              <w:rPr>
                <w:rFonts w:hint="eastAsia" w:eastAsia="仿宋"/>
                <w:highlight w:val="none"/>
                <w:lang w:eastAsia="zh-CN"/>
              </w:rPr>
            </w:pPr>
            <w:r>
              <w:rPr>
                <w:rFonts w:hint="eastAsia"/>
                <w:highlight w:val="none"/>
                <w:lang w:eastAsia="zh-CN"/>
              </w:rPr>
              <w:t>党史宣传覆盖率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4</w:t>
            </w:r>
          </w:p>
        </w:tc>
      </w:tr>
      <w:tr>
        <w:tblPrEx>
          <w:tblLayout w:type="fixed"/>
          <w:tblCellMar>
            <w:top w:w="0" w:type="dxa"/>
            <w:left w:w="108" w:type="dxa"/>
            <w:bottom w:w="0" w:type="dxa"/>
            <w:right w:w="108" w:type="dxa"/>
          </w:tblCellMar>
        </w:tblPrEx>
        <w:trPr>
          <w:trHeight w:val="761" w:hRule="atLeast"/>
          <w:jc w:val="center"/>
        </w:trPr>
        <w:tc>
          <w:tcPr>
            <w:tcW w:w="1305" w:type="dxa"/>
            <w:vMerge w:val="continue"/>
            <w:tcBorders>
              <w:left w:val="single" w:color="auto" w:sz="4" w:space="0"/>
              <w:right w:val="single" w:color="auto" w:sz="4" w:space="0"/>
            </w:tcBorders>
            <w:vAlign w:val="center"/>
          </w:tcPr>
          <w:p>
            <w:pPr>
              <w:pStyle w:val="15"/>
              <w:rPr>
                <w:highlight w:val="none"/>
              </w:rPr>
            </w:pPr>
          </w:p>
        </w:tc>
        <w:tc>
          <w:tcPr>
            <w:tcW w:w="1603" w:type="dxa"/>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2724" w:type="dxa"/>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ascii="宋体" w:hAnsi="宋体" w:cs="宋体"/>
                <w:color w:val="000000"/>
                <w:kern w:val="0"/>
                <w:sz w:val="28"/>
                <w:szCs w:val="28"/>
                <w:highlight w:val="none"/>
                <w:lang w:val="en-US" w:eastAsia="zh-CN"/>
              </w:rPr>
              <w:t>党务工作完成及时率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4</w:t>
            </w:r>
          </w:p>
        </w:tc>
      </w:tr>
      <w:tr>
        <w:tblPrEx>
          <w:tblLayout w:type="fixed"/>
          <w:tblCellMar>
            <w:top w:w="0" w:type="dxa"/>
            <w:left w:w="108" w:type="dxa"/>
            <w:bottom w:w="0" w:type="dxa"/>
            <w:right w:w="108" w:type="dxa"/>
          </w:tblCellMar>
        </w:tblPrEx>
        <w:trPr>
          <w:trHeight w:val="567" w:hRule="atLeast"/>
          <w:jc w:val="center"/>
        </w:trPr>
        <w:tc>
          <w:tcPr>
            <w:tcW w:w="1305" w:type="dxa"/>
            <w:vMerge w:val="restart"/>
            <w:tcBorders>
              <w:top w:val="nil"/>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效益指标</w:t>
            </w:r>
          </w:p>
        </w:tc>
        <w:tc>
          <w:tcPr>
            <w:tcW w:w="160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5"/>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5"/>
              <w:rPr>
                <w:rFonts w:hint="eastAsia"/>
                <w:highlight w:val="none"/>
              </w:rPr>
            </w:pPr>
            <w:r>
              <w:rPr>
                <w:rFonts w:hint="eastAsia"/>
                <w:highlight w:val="none"/>
              </w:rPr>
              <w:t>社会效益指标</w:t>
            </w:r>
          </w:p>
          <w:p>
            <w:pPr>
              <w:pStyle w:val="15"/>
              <w:rPr>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5"/>
              <w:rPr>
                <w:rFonts w:hint="eastAsia" w:eastAsia="仿宋"/>
                <w:highlight w:val="none"/>
                <w:lang w:eastAsia="zh-CN"/>
              </w:rPr>
            </w:pPr>
            <w:r>
              <w:rPr>
                <w:rFonts w:hint="eastAsia"/>
                <w:highlight w:val="none"/>
                <w:lang w:eastAsia="zh-CN"/>
              </w:rPr>
              <w:t>申请入党人数增长率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5"/>
              <w:rPr>
                <w:highlight w:val="none"/>
              </w:rPr>
            </w:pPr>
          </w:p>
        </w:tc>
        <w:tc>
          <w:tcPr>
            <w:tcW w:w="1603" w:type="dxa"/>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rFonts w:hint="eastAsia"/>
                <w:highlight w:val="none"/>
                <w:lang w:eastAsia="zh-CN"/>
              </w:rPr>
            </w:pPr>
            <w:r>
              <w:rPr>
                <w:rFonts w:hint="eastAsia" w:ascii="宋体" w:hAnsi="宋体" w:eastAsia="宋体" w:cs="宋体"/>
                <w:i w:val="0"/>
                <w:color w:val="000000"/>
                <w:kern w:val="0"/>
                <w:sz w:val="18"/>
                <w:szCs w:val="18"/>
                <w:u w:val="none"/>
                <w:lang w:val="en-US" w:eastAsia="zh-CN" w:bidi="ar"/>
              </w:rPr>
              <w:t>党员人数增长率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highlight w:val="none"/>
                <w:lang w:val="en-US" w:eastAsia="zh-CN"/>
              </w:rPr>
            </w:pPr>
            <w:r>
              <w:rPr>
                <w:rFonts w:hint="eastAsia"/>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left w:val="single" w:color="auto" w:sz="4" w:space="0"/>
              <w:right w:val="single" w:color="auto" w:sz="4" w:space="0"/>
            </w:tcBorders>
            <w:shd w:val="clear" w:color="auto" w:fill="auto"/>
            <w:vAlign w:val="center"/>
          </w:tcPr>
          <w:p>
            <w:pPr>
              <w:pStyle w:val="15"/>
              <w:rPr>
                <w:highlight w:val="none"/>
              </w:rPr>
            </w:pPr>
          </w:p>
        </w:tc>
        <w:tc>
          <w:tcPr>
            <w:tcW w:w="1603" w:type="dxa"/>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2724" w:type="dxa"/>
            <w:tcBorders>
              <w:top w:val="single" w:color="000000" w:sz="4" w:space="0"/>
              <w:left w:val="nil"/>
              <w:bottom w:val="single" w:color="000000" w:sz="4" w:space="0"/>
              <w:right w:val="single" w:color="000000" w:sz="4" w:space="0"/>
            </w:tcBorders>
            <w:shd w:val="clear" w:color="auto" w:fill="auto"/>
            <w:vAlign w:val="center"/>
          </w:tcPr>
          <w:p>
            <w:pPr>
              <w:pStyle w:val="15"/>
              <w:rPr>
                <w:rFonts w:hint="eastAsia"/>
                <w:highlight w:val="none"/>
                <w:lang w:eastAsia="zh-CN"/>
              </w:rPr>
            </w:pPr>
            <w:r>
              <w:rPr>
                <w:rFonts w:hint="eastAsia"/>
                <w:highlight w:val="none"/>
                <w:lang w:eastAsia="zh-CN"/>
              </w:rPr>
              <w:t>严重警告处分下降率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5</w:t>
            </w:r>
          </w:p>
        </w:tc>
      </w:tr>
      <w:tr>
        <w:tblPrEx>
          <w:tblLayout w:type="fixed"/>
          <w:tblCellMar>
            <w:top w:w="0" w:type="dxa"/>
            <w:left w:w="108" w:type="dxa"/>
            <w:bottom w:w="0" w:type="dxa"/>
            <w:right w:w="108" w:type="dxa"/>
          </w:tblCellMar>
        </w:tblPrEx>
        <w:trPr>
          <w:trHeight w:val="580"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5"/>
              <w:rPr>
                <w:highlight w:val="none"/>
              </w:rPr>
            </w:pPr>
          </w:p>
        </w:tc>
        <w:tc>
          <w:tcPr>
            <w:tcW w:w="1603" w:type="dxa"/>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highlight w:val="none"/>
              </w:rPr>
            </w:pPr>
            <w:r>
              <w:rPr>
                <w:rFonts w:hint="eastAsia" w:ascii="宋体" w:hAnsi="宋体" w:eastAsia="宋体" w:cs="宋体"/>
                <w:i w:val="0"/>
                <w:color w:val="000000"/>
                <w:kern w:val="0"/>
                <w:sz w:val="18"/>
                <w:szCs w:val="18"/>
                <w:u w:val="none"/>
                <w:lang w:val="en-US" w:eastAsia="zh-CN" w:bidi="ar"/>
              </w:rPr>
              <w:t>党在人民群众中的声望</w:t>
            </w: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r>
      <w:tr>
        <w:tblPrEx>
          <w:tblLayout w:type="fixed"/>
          <w:tblCellMar>
            <w:top w:w="0" w:type="dxa"/>
            <w:left w:w="108" w:type="dxa"/>
            <w:bottom w:w="0" w:type="dxa"/>
            <w:right w:w="108" w:type="dxa"/>
          </w:tblCellMar>
        </w:tblPrEx>
        <w:trPr>
          <w:trHeight w:val="567" w:hRule="atLeast"/>
          <w:jc w:val="center"/>
        </w:trPr>
        <w:tc>
          <w:tcPr>
            <w:tcW w:w="1305" w:type="dxa"/>
            <w:vMerge w:val="continue"/>
            <w:tcBorders>
              <w:top w:val="nil"/>
              <w:left w:val="single" w:color="auto" w:sz="4" w:space="0"/>
              <w:bottom w:val="single" w:color="auto" w:sz="4" w:space="0"/>
              <w:right w:val="single" w:color="auto" w:sz="4" w:space="0"/>
            </w:tcBorders>
            <w:vAlign w:val="center"/>
          </w:tcPr>
          <w:p>
            <w:pPr>
              <w:pStyle w:val="15"/>
              <w:rPr>
                <w:highlight w:val="none"/>
              </w:rPr>
            </w:pPr>
          </w:p>
        </w:tc>
        <w:tc>
          <w:tcPr>
            <w:tcW w:w="1603" w:type="dxa"/>
            <w:vMerge w:val="continue"/>
            <w:tcBorders>
              <w:left w:val="single" w:color="auto" w:sz="4" w:space="0"/>
              <w:bottom w:val="single" w:color="auto" w:sz="4" w:space="0"/>
              <w:right w:val="single" w:color="auto" w:sz="4" w:space="0"/>
            </w:tcBorders>
            <w:shd w:val="clear" w:color="auto" w:fill="auto"/>
            <w:vAlign w:val="center"/>
          </w:tcPr>
          <w:p>
            <w:pPr>
              <w:pStyle w:val="15"/>
              <w:rPr>
                <w:highlight w:val="none"/>
              </w:rPr>
            </w:pPr>
          </w:p>
        </w:tc>
        <w:tc>
          <w:tcPr>
            <w:tcW w:w="2724" w:type="dxa"/>
            <w:tcBorders>
              <w:top w:val="single" w:color="000000" w:sz="4" w:space="0"/>
              <w:left w:val="nil"/>
              <w:bottom w:val="single" w:color="auto" w:sz="4" w:space="0"/>
              <w:right w:val="single" w:color="000000" w:sz="4" w:space="0"/>
            </w:tcBorders>
            <w:shd w:val="clear" w:color="auto" w:fill="auto"/>
            <w:vAlign w:val="center"/>
          </w:tcPr>
          <w:p>
            <w:pPr>
              <w:keepNext w:val="0"/>
              <w:keepLines w:val="0"/>
              <w:widowControl/>
              <w:suppressLineNumbers w:val="0"/>
              <w:ind w:firstLine="360" w:firstLineChars="200"/>
              <w:jc w:val="left"/>
              <w:textAlignment w:val="center"/>
              <w:rPr>
                <w:highlight w:val="none"/>
              </w:rPr>
            </w:pPr>
            <w:r>
              <w:rPr>
                <w:rFonts w:hint="eastAsia" w:ascii="宋体" w:hAnsi="宋体" w:eastAsia="宋体" w:cs="宋体"/>
                <w:i w:val="0"/>
                <w:color w:val="000000"/>
                <w:kern w:val="0"/>
                <w:sz w:val="18"/>
                <w:szCs w:val="18"/>
                <w:u w:val="none"/>
                <w:lang w:val="en-US" w:eastAsia="zh-CN" w:bidi="ar"/>
              </w:rPr>
              <w:t>对党委重大决策支撑的影响程度</w:t>
            </w:r>
          </w:p>
        </w:tc>
        <w:tc>
          <w:tcPr>
            <w:tcW w:w="1439" w:type="dxa"/>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130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1603" w:type="dxa"/>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服务对象满意度指标</w:t>
            </w:r>
          </w:p>
        </w:tc>
        <w:tc>
          <w:tcPr>
            <w:tcW w:w="2724" w:type="dxa"/>
            <w:tcBorders>
              <w:top w:val="single" w:color="auto" w:sz="4" w:space="0"/>
              <w:left w:val="nil"/>
              <w:bottom w:val="single" w:color="auto" w:sz="4" w:space="0"/>
              <w:right w:val="single" w:color="auto" w:sz="4" w:space="0"/>
            </w:tcBorders>
            <w:shd w:val="clear" w:color="auto" w:fill="auto"/>
            <w:vAlign w:val="center"/>
          </w:tcPr>
          <w:p>
            <w:pPr>
              <w:pStyle w:val="15"/>
              <w:rPr>
                <w:rFonts w:hint="eastAsia" w:eastAsia="仿宋"/>
                <w:highlight w:val="none"/>
                <w:lang w:eastAsia="zh-CN"/>
              </w:rPr>
            </w:pPr>
            <w:r>
              <w:rPr>
                <w:rFonts w:hint="eastAsia"/>
                <w:highlight w:val="none"/>
                <w:lang w:eastAsia="zh-CN"/>
              </w:rPr>
              <w:t>党员满意度</w:t>
            </w:r>
          </w:p>
        </w:tc>
        <w:tc>
          <w:tcPr>
            <w:tcW w:w="1439" w:type="dxa"/>
            <w:tcBorders>
              <w:top w:val="single" w:color="auto"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10</w:t>
            </w:r>
          </w:p>
        </w:tc>
      </w:tr>
      <w:tr>
        <w:tblPrEx>
          <w:tblLayout w:type="fixed"/>
          <w:tblCellMar>
            <w:top w:w="0" w:type="dxa"/>
            <w:left w:w="108" w:type="dxa"/>
            <w:bottom w:w="0" w:type="dxa"/>
            <w:right w:w="108" w:type="dxa"/>
          </w:tblCellMar>
        </w:tblPrEx>
        <w:trPr>
          <w:trHeight w:val="567" w:hRule="atLeast"/>
          <w:jc w:val="center"/>
        </w:trPr>
        <w:tc>
          <w:tcPr>
            <w:tcW w:w="563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总分</w:t>
            </w:r>
          </w:p>
        </w:tc>
        <w:tc>
          <w:tcPr>
            <w:tcW w:w="1439" w:type="dxa"/>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1</w:t>
            </w:r>
            <w:r>
              <w:rPr>
                <w:highlight w:val="none"/>
              </w:rPr>
              <w:t>00</w:t>
            </w:r>
          </w:p>
        </w:tc>
        <w:tc>
          <w:tcPr>
            <w:tcW w:w="1373" w:type="dxa"/>
            <w:tcBorders>
              <w:top w:val="single" w:color="auto" w:sz="4" w:space="0"/>
              <w:left w:val="nil"/>
              <w:bottom w:val="single" w:color="auto" w:sz="4" w:space="0"/>
              <w:right w:val="single" w:color="auto"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98</w:t>
            </w:r>
          </w:p>
        </w:tc>
      </w:tr>
    </w:tbl>
    <w:p>
      <w:pPr>
        <w:pStyle w:val="3"/>
        <w:rPr>
          <w:highlight w:val="none"/>
        </w:rPr>
      </w:pPr>
      <w:bookmarkStart w:id="43" w:name="_Toc24245"/>
      <w:bookmarkStart w:id="44" w:name="_Toc79333445"/>
      <w:bookmarkStart w:id="45" w:name="_Toc31442"/>
      <w:r>
        <w:rPr>
          <w:rFonts w:hint="eastAsia"/>
          <w:highlight w:val="none"/>
        </w:rPr>
        <w:t>（二）自评指标分析</w:t>
      </w:r>
      <w:bookmarkEnd w:id="43"/>
      <w:bookmarkEnd w:id="44"/>
      <w:bookmarkEnd w:id="45"/>
    </w:p>
    <w:p>
      <w:pPr>
        <w:pStyle w:val="4"/>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pPr>
      <w:r>
        <w:rPr>
          <w:rFonts w:hint="eastAsia"/>
          <w:highlight w:val="none"/>
        </w:rPr>
        <w:t>项目全年预算资金为</w:t>
      </w:r>
      <w:r>
        <w:rPr>
          <w:rFonts w:hint="eastAsia"/>
          <w:highlight w:val="none"/>
          <w:lang w:val="en-US" w:eastAsia="zh-CN"/>
        </w:rPr>
        <w:t>47</w:t>
      </w:r>
      <w:r>
        <w:rPr>
          <w:rFonts w:hint="eastAsia"/>
          <w:highlight w:val="none"/>
        </w:rPr>
        <w:t>万元，全年执行数为</w:t>
      </w:r>
      <w:r>
        <w:rPr>
          <w:rFonts w:hint="eastAsia"/>
          <w:highlight w:val="none"/>
          <w:lang w:val="en-US" w:eastAsia="zh-CN"/>
        </w:rPr>
        <w:t>47</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w:t>
      </w:r>
      <w:r>
        <w:rPr>
          <w:rFonts w:hint="eastAsia"/>
          <w:lang w:eastAsia="zh-CN"/>
        </w:rPr>
        <w:t>三</w:t>
      </w:r>
      <w:r>
        <w:rPr>
          <w:rFonts w:hint="eastAsia"/>
        </w:rPr>
        <w:t>个二级指标分别是：“数量指标”、“质量指标”、“时效指标”。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三</w:t>
      </w:r>
      <w:r>
        <w:rPr>
          <w:rFonts w:hint="eastAsia"/>
          <w:highlight w:val="none"/>
        </w:rPr>
        <w:t>个三级指标“</w:t>
      </w:r>
      <w:r>
        <w:rPr>
          <w:rFonts w:hint="eastAsia"/>
          <w:highlight w:val="none"/>
          <w:lang w:val="en-US" w:eastAsia="zh-CN"/>
        </w:rPr>
        <w:t>党史宣传覆盖人数、活动开展次数、活动开展场次。</w:t>
      </w:r>
      <w:r>
        <w:rPr>
          <w:rFonts w:hint="eastAsia"/>
          <w:highlight w:val="none"/>
        </w:rPr>
        <w:t>截止2</w:t>
      </w:r>
      <w:r>
        <w:rPr>
          <w:highlight w:val="none"/>
        </w:rPr>
        <w:t>0</w:t>
      </w:r>
      <w:r>
        <w:rPr>
          <w:rFonts w:hint="eastAsia"/>
          <w:highlight w:val="none"/>
          <w:lang w:val="en-US" w:eastAsia="zh-CN"/>
        </w:rPr>
        <w:t>21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highlight w:val="none"/>
          <w:lang w:eastAsia="zh-CN"/>
        </w:rPr>
        <w:t>党史宣传教育覆盖面为单位</w:t>
      </w:r>
      <w:r>
        <w:rPr>
          <w:rFonts w:hint="eastAsia"/>
          <w:highlight w:val="none"/>
          <w:lang w:val="en-US" w:eastAsia="zh-CN"/>
        </w:rPr>
        <w:t>全覆盖，完成年度目标</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rPr>
        <w:t>；</w:t>
      </w:r>
      <w:r>
        <w:rPr>
          <w:rFonts w:hint="eastAsia"/>
          <w:highlight w:val="none"/>
          <w:lang w:val="en-US" w:eastAsia="zh-CN"/>
        </w:rPr>
        <w:t>活动开展次数</w:t>
      </w:r>
      <w:r>
        <w:rPr>
          <w:rFonts w:hint="eastAsia"/>
          <w:highlight w:val="none"/>
        </w:rPr>
        <w:t>为</w:t>
      </w:r>
      <w:r>
        <w:rPr>
          <w:rFonts w:hint="eastAsia"/>
          <w:highlight w:val="none"/>
          <w:lang w:val="en-US" w:eastAsia="zh-CN"/>
        </w:rPr>
        <w:t>10</w:t>
      </w:r>
      <w:r>
        <w:rPr>
          <w:rFonts w:hint="eastAsia"/>
          <w:highlight w:val="none"/>
        </w:rPr>
        <w:t>0</w:t>
      </w:r>
      <w:r>
        <w:rPr>
          <w:rFonts w:hint="eastAsia"/>
          <w:highlight w:val="none"/>
          <w:lang w:eastAsia="zh-CN"/>
        </w:rPr>
        <w:t>次</w:t>
      </w:r>
      <w:r>
        <w:rPr>
          <w:rFonts w:hint="eastAsia"/>
          <w:highlight w:val="none"/>
        </w:rPr>
        <w:t>，该指标标准分值</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r>
        <w:rPr>
          <w:rFonts w:hint="eastAsia"/>
          <w:highlight w:val="none"/>
          <w:lang w:eastAsia="zh-CN"/>
        </w:rPr>
        <w:t>，</w:t>
      </w:r>
      <w:r>
        <w:rPr>
          <w:rFonts w:hint="eastAsia"/>
          <w:highlight w:val="none"/>
          <w:lang w:val="en-US" w:eastAsia="zh-CN"/>
        </w:rPr>
        <w:t>活动开展场次</w:t>
      </w:r>
      <w:r>
        <w:rPr>
          <w:rFonts w:hint="eastAsia"/>
          <w:highlight w:val="none"/>
          <w:lang w:eastAsia="zh-CN"/>
        </w:rPr>
        <w:t>数量也完成了年初目标设定，</w:t>
      </w:r>
      <w:r>
        <w:rPr>
          <w:rFonts w:hint="eastAsia"/>
          <w:highlight w:val="none"/>
        </w:rPr>
        <w:t>该指标标准分值</w:t>
      </w:r>
      <w:r>
        <w:rPr>
          <w:rFonts w:hint="eastAsia"/>
          <w:highlight w:val="none"/>
          <w:lang w:val="en-US" w:eastAsia="zh-CN"/>
        </w:rPr>
        <w:t>10</w:t>
      </w:r>
      <w:r>
        <w:rPr>
          <w:highlight w:val="none"/>
        </w:rPr>
        <w:t>分</w:t>
      </w:r>
      <w:r>
        <w:rPr>
          <w:rFonts w:hint="eastAsia"/>
          <w:highlight w:val="none"/>
          <w:lang w:eastAsia="zh-CN"/>
        </w:rPr>
        <w:t>，得</w:t>
      </w:r>
      <w:r>
        <w:rPr>
          <w:rFonts w:hint="eastAsia"/>
          <w:highlight w:val="none"/>
          <w:lang w:val="en-US" w:eastAsia="zh-CN"/>
        </w:rPr>
        <w:t>10分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30</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w:t>
      </w:r>
      <w:r>
        <w:rPr>
          <w:rFonts w:hint="eastAsia"/>
          <w:highlight w:val="none"/>
          <w:lang w:eastAsia="zh-CN"/>
        </w:rPr>
        <w:t>党建工作覆盖率</w:t>
      </w:r>
      <w:r>
        <w:rPr>
          <w:rFonts w:hint="eastAsia"/>
          <w:highlight w:val="none"/>
        </w:rPr>
        <w:t>”和“</w:t>
      </w:r>
      <w:r>
        <w:rPr>
          <w:rFonts w:hint="eastAsia"/>
          <w:highlight w:val="none"/>
          <w:lang w:eastAsia="zh-CN"/>
        </w:rPr>
        <w:t>党史宣传覆盖率</w:t>
      </w:r>
      <w:r>
        <w:rPr>
          <w:rFonts w:hint="eastAsia"/>
          <w:highlight w:val="none"/>
        </w:rPr>
        <w:t>”。</w:t>
      </w:r>
    </w:p>
    <w:p>
      <w:pPr>
        <w:ind w:firstLine="640"/>
        <w:rPr>
          <w:highlight w:val="none"/>
        </w:rPr>
      </w:pPr>
      <w:r>
        <w:rPr>
          <w:rFonts w:hint="eastAsia"/>
          <w:highlight w:val="none"/>
        </w:rPr>
        <w:t>根据指标要求，</w:t>
      </w:r>
      <w:r>
        <w:rPr>
          <w:rFonts w:hint="eastAsia"/>
          <w:highlight w:val="none"/>
          <w:lang w:eastAsia="zh-CN"/>
        </w:rPr>
        <w:t>党史宣传覆盖率</w:t>
      </w:r>
      <w:r>
        <w:rPr>
          <w:rFonts w:hint="eastAsia"/>
          <w:highlight w:val="none"/>
        </w:rPr>
        <w:t>项目验收合格</w:t>
      </w:r>
      <w:r>
        <w:rPr>
          <w:rFonts w:hint="eastAsia"/>
          <w:highlight w:val="none"/>
          <w:lang w:eastAsia="zh-CN"/>
        </w:rPr>
        <w:t>，合格率</w:t>
      </w:r>
      <w:r>
        <w:rPr>
          <w:rFonts w:hint="eastAsia"/>
          <w:highlight w:val="none"/>
        </w:rPr>
        <w:t>达到</w:t>
      </w:r>
      <w:r>
        <w:rPr>
          <w:rFonts w:hint="eastAsia"/>
          <w:highlight w:val="none"/>
          <w:lang w:val="en-US" w:eastAsia="zh-CN"/>
        </w:rPr>
        <w:t>80</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r>
        <w:rPr>
          <w:rFonts w:hint="eastAsia"/>
          <w:highlight w:val="none"/>
          <w:lang w:eastAsia="zh-CN"/>
        </w:rPr>
        <w:t>党建工作覆盖率</w:t>
      </w:r>
      <w:r>
        <w:rPr>
          <w:rFonts w:hint="eastAsia" w:ascii="Arial" w:hAnsi="Arial" w:cs="Arial"/>
          <w:highlight w:val="none"/>
          <w:lang w:val="en-US" w:eastAsia="zh-CN"/>
        </w:rPr>
        <w:t>80%，没有完成年度目标，</w:t>
      </w:r>
      <w:r>
        <w:rPr>
          <w:rFonts w:hint="eastAsia"/>
          <w:highlight w:val="none"/>
        </w:rPr>
        <w:t>该项指标标准分值为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8</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w:t>
      </w:r>
      <w:r>
        <w:rPr>
          <w:rFonts w:hint="eastAsia" w:ascii="宋体" w:hAnsi="宋体" w:cs="宋体"/>
          <w:color w:val="000000"/>
          <w:kern w:val="0"/>
          <w:sz w:val="28"/>
          <w:szCs w:val="28"/>
          <w:highlight w:val="none"/>
          <w:lang w:val="en-US" w:eastAsia="zh-CN"/>
        </w:rPr>
        <w:t>党务工作完成及时率</w:t>
      </w:r>
      <w:r>
        <w:rPr>
          <w:rFonts w:hint="eastAsia"/>
          <w:highlight w:val="none"/>
        </w:rPr>
        <w:t>”。</w:t>
      </w:r>
    </w:p>
    <w:p>
      <w:pPr>
        <w:ind w:firstLine="640"/>
        <w:rPr>
          <w:highlight w:val="none"/>
        </w:rPr>
      </w:pPr>
      <w:r>
        <w:rPr>
          <w:rFonts w:hint="eastAsia"/>
          <w:highlight w:val="none"/>
        </w:rPr>
        <w:t>根据指标要求，</w:t>
      </w:r>
      <w:bookmarkStart w:id="49" w:name="_Hlk79160389"/>
      <w:r>
        <w:rPr>
          <w:rFonts w:hint="eastAsia"/>
          <w:highlight w:val="none"/>
          <w:lang w:eastAsia="zh-CN"/>
        </w:rPr>
        <w:t>这项指标，工作完成率为</w:t>
      </w:r>
      <w:r>
        <w:rPr>
          <w:rFonts w:hint="eastAsia"/>
          <w:highlight w:val="none"/>
          <w:lang w:val="en-US" w:eastAsia="zh-CN"/>
        </w:rPr>
        <w:t>80%，</w:t>
      </w:r>
      <w:r>
        <w:rPr>
          <w:rFonts w:hint="eastAsia"/>
          <w:highlight w:val="none"/>
        </w:rPr>
        <w:t>该指标标准分值为</w:t>
      </w:r>
      <w:r>
        <w:rPr>
          <w:rFonts w:hint="eastAsia"/>
          <w:highlight w:val="none"/>
          <w:lang w:val="en-US" w:eastAsia="zh-CN"/>
        </w:rPr>
        <w:t>5</w:t>
      </w:r>
      <w:r>
        <w:rPr>
          <w:highlight w:val="none"/>
        </w:rPr>
        <w:t>分，得分为</w:t>
      </w:r>
      <w:r>
        <w:rPr>
          <w:rFonts w:hint="eastAsia"/>
          <w:highlight w:val="none"/>
          <w:lang w:val="en-US" w:eastAsia="zh-CN"/>
        </w:rPr>
        <w:t>4</w:t>
      </w:r>
      <w:r>
        <w:rPr>
          <w:highlight w:val="none"/>
        </w:rPr>
        <w:t>分</w:t>
      </w:r>
      <w:r>
        <w:rPr>
          <w:rFonts w:hint="eastAsia"/>
          <w:highlight w:val="none"/>
        </w:rPr>
        <w:t>。</w:t>
      </w:r>
    </w:p>
    <w:bookmarkEnd w:id="49"/>
    <w:p>
      <w:pPr>
        <w:ind w:firstLine="640"/>
        <w:rPr>
          <w:highlight w:val="none"/>
        </w:rPr>
      </w:pPr>
    </w:p>
    <w:p>
      <w:pPr>
        <w:pStyle w:val="4"/>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w:t>
      </w:r>
      <w:r>
        <w:rPr>
          <w:rFonts w:hint="eastAsia"/>
          <w:highlight w:val="none"/>
          <w:lang w:eastAsia="zh-CN"/>
        </w:rPr>
        <w:t>三</w:t>
      </w:r>
      <w:r>
        <w:rPr>
          <w:rFonts w:hint="eastAsia"/>
          <w:highlight w:val="none"/>
        </w:rPr>
        <w:t>级指标，分别为“</w:t>
      </w:r>
      <w:r>
        <w:rPr>
          <w:rFonts w:hint="eastAsia"/>
          <w:highlight w:val="none"/>
          <w:lang w:eastAsia="zh-CN"/>
        </w:rPr>
        <w:t>申请入党人数增长率</w:t>
      </w:r>
      <w:r>
        <w:rPr>
          <w:rFonts w:hint="eastAsia"/>
          <w:highlight w:val="none"/>
        </w:rPr>
        <w:t>”、“</w:t>
      </w:r>
      <w:r>
        <w:rPr>
          <w:rFonts w:hint="eastAsia"/>
          <w:highlight w:val="none"/>
          <w:lang w:eastAsia="zh-CN"/>
        </w:rPr>
        <w:t>党员数量增长率</w:t>
      </w:r>
      <w:r>
        <w:rPr>
          <w:rFonts w:hint="eastAsia"/>
          <w:highlight w:val="none"/>
        </w:rPr>
        <w:t>”“</w:t>
      </w:r>
      <w:r>
        <w:rPr>
          <w:rFonts w:hint="eastAsia"/>
          <w:highlight w:val="none"/>
          <w:lang w:eastAsia="zh-CN"/>
        </w:rPr>
        <w:t>严重警告处分下降率</w:t>
      </w:r>
      <w:r>
        <w:rPr>
          <w:rFonts w:hint="eastAsia"/>
          <w:highlight w:val="none"/>
        </w:rPr>
        <w:t>”。</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三级指标分别为“</w:t>
      </w:r>
      <w:r>
        <w:rPr>
          <w:rFonts w:hint="eastAsia"/>
          <w:highlight w:val="none"/>
          <w:lang w:eastAsia="zh-CN"/>
        </w:rPr>
        <w:t>申请入党人数增长率</w:t>
      </w:r>
      <w:r>
        <w:rPr>
          <w:rFonts w:hint="eastAsia"/>
          <w:highlight w:val="none"/>
        </w:rPr>
        <w:t>”、“</w:t>
      </w:r>
      <w:r>
        <w:rPr>
          <w:rFonts w:hint="eastAsia"/>
          <w:highlight w:val="none"/>
          <w:lang w:eastAsia="zh-CN"/>
        </w:rPr>
        <w:t>党员数量增长率</w:t>
      </w:r>
      <w:r>
        <w:rPr>
          <w:rFonts w:hint="eastAsia"/>
          <w:highlight w:val="none"/>
        </w:rPr>
        <w:t>”“</w:t>
      </w:r>
      <w:r>
        <w:rPr>
          <w:rFonts w:hint="eastAsia"/>
          <w:highlight w:val="none"/>
          <w:lang w:eastAsia="zh-CN"/>
        </w:rPr>
        <w:t>严重警告处分下降率</w:t>
      </w:r>
      <w:r>
        <w:rPr>
          <w:rFonts w:hint="eastAsia"/>
          <w:highlight w:val="none"/>
        </w:rPr>
        <w:t>”。</w:t>
      </w:r>
    </w:p>
    <w:p>
      <w:pPr>
        <w:ind w:firstLine="640"/>
        <w:rPr>
          <w:highlight w:val="none"/>
        </w:rPr>
      </w:pPr>
      <w:r>
        <w:rPr>
          <w:rFonts w:hint="eastAsia"/>
          <w:highlight w:val="none"/>
          <w:lang w:eastAsia="zh-CN"/>
        </w:rPr>
        <w:t>该项目实施后对太康县的法律公证公平</w:t>
      </w:r>
      <w:r>
        <w:rPr>
          <w:rFonts w:hint="eastAsia"/>
          <w:highlight w:val="none"/>
        </w:rPr>
        <w:t>产生社会效益，该指标标准分值</w:t>
      </w:r>
      <w:r>
        <w:rPr>
          <w:rFonts w:hint="eastAsia"/>
          <w:highlight w:val="none"/>
          <w:lang w:eastAsia="zh-CN"/>
        </w:rPr>
        <w:t>合计</w:t>
      </w:r>
      <w:r>
        <w:rPr>
          <w:rFonts w:hint="eastAsia"/>
          <w:highlight w:val="none"/>
        </w:rPr>
        <w:t>为</w:t>
      </w:r>
      <w:r>
        <w:rPr>
          <w:rFonts w:hint="eastAsia"/>
          <w:highlight w:val="none"/>
          <w:lang w:val="en-US" w:eastAsia="zh-CN"/>
        </w:rPr>
        <w:t>15</w:t>
      </w:r>
      <w:r>
        <w:rPr>
          <w:rFonts w:hint="eastAsia"/>
          <w:highlight w:val="none"/>
        </w:rPr>
        <w:t>分，实际综合得分为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w:t>
      </w:r>
      <w:r>
        <w:rPr>
          <w:rFonts w:hint="eastAsia"/>
          <w:highlight w:val="none"/>
          <w:lang w:eastAsia="zh-CN"/>
        </w:rPr>
        <w:t>二个</w:t>
      </w:r>
      <w:r>
        <w:rPr>
          <w:rFonts w:hint="eastAsia"/>
          <w:highlight w:val="none"/>
        </w:rPr>
        <w:t>三级指标“</w:t>
      </w:r>
      <w:r>
        <w:rPr>
          <w:rFonts w:hint="eastAsia"/>
          <w:highlight w:val="none"/>
          <w:lang w:eastAsia="zh-CN"/>
        </w:rPr>
        <w:t>党在人民群众中的声望</w:t>
      </w:r>
      <w:r>
        <w:rPr>
          <w:rFonts w:hint="eastAsia"/>
          <w:highlight w:val="none"/>
        </w:rPr>
        <w:t>”</w:t>
      </w:r>
      <w:r>
        <w:rPr>
          <w:rFonts w:hint="eastAsia"/>
          <w:highlight w:val="none"/>
          <w:lang w:eastAsia="zh-CN"/>
        </w:rPr>
        <w:t>、</w:t>
      </w:r>
      <w:r>
        <w:rPr>
          <w:rFonts w:hint="eastAsia"/>
          <w:highlight w:val="none"/>
        </w:rPr>
        <w:t>“</w:t>
      </w:r>
      <w:r>
        <w:rPr>
          <w:rFonts w:hint="eastAsia"/>
          <w:highlight w:val="none"/>
          <w:lang w:eastAsia="zh-CN"/>
        </w:rPr>
        <w:t>对党务重大决策支撑的影响程度</w:t>
      </w:r>
      <w:r>
        <w:rPr>
          <w:rFonts w:hint="eastAsia"/>
          <w:highlight w:val="none"/>
        </w:rPr>
        <w:t>”。</w:t>
      </w:r>
    </w:p>
    <w:p>
      <w:pPr>
        <w:ind w:firstLine="640"/>
        <w:rPr>
          <w:highlight w:val="none"/>
        </w:rPr>
      </w:pPr>
      <w:r>
        <w:rPr>
          <w:rFonts w:hint="eastAsia"/>
          <w:highlight w:val="none"/>
          <w:lang w:eastAsia="zh-CN"/>
        </w:rPr>
        <w:t>本项目实施后，提高了群众对党的认识进一步加深，提升了政府形象，</w:t>
      </w:r>
      <w:r>
        <w:rPr>
          <w:rFonts w:hint="eastAsia"/>
          <w:highlight w:val="none"/>
        </w:rPr>
        <w:t>具有可持续影响效益，该指标标准分值为</w:t>
      </w:r>
      <w:r>
        <w:rPr>
          <w:rFonts w:hint="eastAsia"/>
          <w:highlight w:val="none"/>
          <w:lang w:val="en-US" w:eastAsia="zh-CN"/>
        </w:rPr>
        <w:t>15</w:t>
      </w:r>
      <w:bookmarkStart w:id="81" w:name="_GoBack"/>
      <w:bookmarkEnd w:id="81"/>
      <w:r>
        <w:rPr>
          <w:rFonts w:hint="eastAsia"/>
          <w:highlight w:val="none"/>
        </w:rPr>
        <w:t>分，实际综合得分为</w:t>
      </w:r>
      <w:r>
        <w:rPr>
          <w:rFonts w:hint="eastAsia"/>
          <w:highlight w:val="none"/>
          <w:lang w:val="en-US" w:eastAsia="zh-CN"/>
        </w:rPr>
        <w:t>15</w:t>
      </w:r>
      <w:r>
        <w:rPr>
          <w:rFonts w:hint="eastAsia"/>
          <w:highlight w:val="none"/>
        </w:rPr>
        <w:t>分。</w:t>
      </w:r>
    </w:p>
    <w:p>
      <w:pPr>
        <w:pStyle w:val="4"/>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满意度：</w:t>
      </w:r>
      <w:r>
        <w:rPr>
          <w:rFonts w:hint="eastAsia"/>
          <w:highlight w:val="none"/>
          <w:lang w:eastAsia="zh-CN"/>
        </w:rPr>
        <w:t>党史宣传教育项目确实提高了群众党员</w:t>
      </w:r>
      <w:r>
        <w:rPr>
          <w:rFonts w:hint="eastAsia"/>
          <w:highlight w:val="none"/>
        </w:rPr>
        <w:t>满意度，该项指标标准分值</w:t>
      </w:r>
      <w:r>
        <w:rPr>
          <w:rFonts w:hint="eastAsia"/>
          <w:highlight w:val="none"/>
          <w:lang w:val="en-US" w:eastAsia="zh-CN"/>
        </w:rPr>
        <w:t>10</w:t>
      </w:r>
      <w:r>
        <w:rPr>
          <w:rFonts w:hint="eastAsia"/>
          <w:highlight w:val="none"/>
        </w:rPr>
        <w:t>分，得分为</w:t>
      </w:r>
      <w:r>
        <w:rPr>
          <w:rFonts w:hint="eastAsia"/>
          <w:highlight w:val="none"/>
          <w:lang w:val="en-US" w:eastAsia="zh-CN"/>
        </w:rPr>
        <w:t>10</w:t>
      </w:r>
      <w:r>
        <w:rPr>
          <w:rFonts w:hint="eastAsia"/>
          <w:highlight w:val="none"/>
        </w:rPr>
        <w:t>分。</w:t>
      </w:r>
    </w:p>
    <w:p>
      <w:pPr>
        <w:pStyle w:val="2"/>
        <w:rPr>
          <w:highlight w:val="none"/>
        </w:rPr>
      </w:pPr>
      <w:bookmarkStart w:id="52" w:name="_Toc79333450"/>
      <w:bookmarkStart w:id="53" w:name="_Toc1809"/>
      <w:bookmarkStart w:id="54" w:name="_Toc29830"/>
      <w:r>
        <w:rPr>
          <w:rFonts w:hint="eastAsia"/>
          <w:highlight w:val="none"/>
        </w:rPr>
        <w:t>四、成果和问题</w:t>
      </w:r>
      <w:bookmarkEnd w:id="52"/>
      <w:bookmarkEnd w:id="53"/>
      <w:bookmarkEnd w:id="54"/>
    </w:p>
    <w:p>
      <w:pPr>
        <w:pStyle w:val="3"/>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p>
    <w:p>
      <w:pPr>
        <w:pStyle w:val="3"/>
        <w:ind w:firstLine="640" w:firstLineChars="200"/>
        <w:rPr>
          <w:rFonts w:hint="eastAsia" w:ascii="仿宋" w:hAnsi="仿宋" w:eastAsia="仿宋" w:cs="仿宋"/>
          <w:sz w:val="32"/>
          <w:szCs w:val="32"/>
          <w:highlight w:val="none"/>
        </w:rPr>
      </w:pPr>
      <w:bookmarkStart w:id="57" w:name="_Toc79333452"/>
      <w:bookmarkStart w:id="58" w:name="_Toc30691"/>
      <w:r>
        <w:rPr>
          <w:rFonts w:hint="eastAsia" w:ascii="仿宋" w:hAnsi="仿宋" w:eastAsia="仿宋" w:cstheme="minorBidi"/>
          <w:b w:val="0"/>
          <w:bCs w:val="0"/>
          <w:kern w:val="2"/>
          <w:sz w:val="32"/>
          <w:szCs w:val="32"/>
          <w:highlight w:val="none"/>
          <w:lang w:val="en-US" w:eastAsia="zh-CN" w:bidi="ar-SA"/>
        </w:rPr>
        <w:t>2021年，中共太康县委党史研究室在县委、县政府的坚强领导下，在各级领导的关心支持下，在广大人民群众的监督下取得了一定成绩，，但是一些工作与县委、县政府和上级司法行政机关的要求还存在差距，需要我们进一步推进。认真做到坚决捍卫党的政治安全，宣传党，爱护党。</w:t>
      </w:r>
    </w:p>
    <w:p>
      <w:pPr>
        <w:pStyle w:val="3"/>
        <w:rPr>
          <w:highlight w:val="none"/>
        </w:rPr>
      </w:pPr>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rFonts w:hint="eastAsia" w:ascii="仿宋_GB2312" w:hAnsi="仿宋" w:eastAsia="仿宋_GB2312" w:cs="仿宋_GB2312"/>
          <w:sz w:val="32"/>
          <w:szCs w:val="32"/>
          <w:highlight w:val="none"/>
          <w:lang w:eastAsia="zh-CN"/>
        </w:rPr>
      </w:pPr>
      <w:r>
        <w:rPr>
          <w:rFonts w:hint="eastAsia" w:ascii="仿宋_GB2312" w:hAnsi="仿宋" w:eastAsia="仿宋_GB2312" w:cs="仿宋_GB2312"/>
          <w:sz w:val="32"/>
          <w:szCs w:val="32"/>
          <w:highlight w:val="none"/>
          <w:lang w:eastAsia="zh-CN"/>
        </w:rPr>
        <w:t>3、</w:t>
      </w:r>
      <w:r>
        <w:rPr>
          <w:rFonts w:hint="eastAsia" w:ascii="仿宋_GB2312" w:eastAsia="仿宋_GB2312" w:cs="仿宋_GB2312"/>
          <w:sz w:val="32"/>
          <w:szCs w:val="32"/>
          <w:highlight w:val="none"/>
          <w:lang w:eastAsia="zh-CN"/>
        </w:rPr>
        <w:t>绩效指标设计存在不足</w:t>
      </w:r>
    </w:p>
    <w:p>
      <w:pPr>
        <w:ind w:firstLine="640"/>
        <w:rPr>
          <w:highlight w:val="none"/>
        </w:rPr>
      </w:pPr>
      <w:r>
        <w:rPr>
          <w:rFonts w:hint="eastAsia" w:ascii="仿宋_GB2312" w:hAnsi="仿宋" w:eastAsia="仿宋_GB2312" w:cs="仿宋_GB2312"/>
          <w:sz w:val="32"/>
          <w:szCs w:val="32"/>
          <w:highlight w:val="none"/>
          <w:lang w:eastAsia="zh-CN"/>
        </w:rPr>
        <w:t>在绩效考评指标的设计上，部分特色指标缺乏数据支持和可行的分析测评，绩效指标体系有待完善</w:t>
      </w:r>
    </w:p>
    <w:p>
      <w:pPr>
        <w:pStyle w:val="2"/>
        <w:rPr>
          <w:highlight w:val="none"/>
        </w:rPr>
      </w:pPr>
      <w:bookmarkStart w:id="59" w:name="_Toc27227"/>
      <w:bookmarkStart w:id="60" w:name="_Toc79333453"/>
      <w:bookmarkStart w:id="61" w:name="_Toc6382"/>
      <w:r>
        <w:rPr>
          <w:rFonts w:hint="eastAsia"/>
          <w:highlight w:val="none"/>
        </w:rPr>
        <w:t>五、建议</w:t>
      </w:r>
      <w:bookmarkEnd w:id="59"/>
      <w:bookmarkEnd w:id="60"/>
      <w:bookmarkEnd w:id="61"/>
    </w:p>
    <w:p>
      <w:pPr>
        <w:pStyle w:val="3"/>
        <w:rPr>
          <w:highlight w:val="none"/>
        </w:rPr>
      </w:pPr>
      <w:bookmarkStart w:id="62" w:name="_Toc79333454"/>
      <w:bookmarkStart w:id="63" w:name="_Toc18797"/>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3"/>
        <w:rPr>
          <w:rFonts w:hint="eastAsia" w:eastAsia="楷体"/>
          <w:highlight w:val="none"/>
          <w:lang w:eastAsia="zh-CN"/>
        </w:rPr>
      </w:pPr>
      <w:bookmarkStart w:id="66" w:name="_Toc79333456"/>
      <w:bookmarkStart w:id="67" w:name="_Toc24402"/>
      <w:r>
        <w:rPr>
          <w:rFonts w:hint="eastAsia"/>
          <w:highlight w:val="none"/>
        </w:rPr>
        <w:t>（三）分析原因，提高</w:t>
      </w:r>
      <w:bookmarkEnd w:id="66"/>
      <w:bookmarkEnd w:id="67"/>
      <w:r>
        <w:rPr>
          <w:rFonts w:hint="eastAsia"/>
          <w:highlight w:val="none"/>
          <w:lang w:eastAsia="zh-CN"/>
        </w:rPr>
        <w:t>绩效管理水平</w:t>
      </w:r>
    </w:p>
    <w:p>
      <w:pPr>
        <w:ind w:firstLine="640"/>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我局将加强绩效评价管理制度和流程的建设，进一步深化、完善绩效管理体系，建立全过程的预算绩效管理机制，促进绩效管理工作向广度和深度延伸。规范绩效评价管理资料的收集整理，确保相关信息完整、可靠，客观公正地反映项目资金实际使用和产生的绩效状况，为今后该项目实施方向及管理方式的改进提供指导。</w:t>
      </w:r>
    </w:p>
    <w:p>
      <w:pPr>
        <w:pStyle w:val="2"/>
        <w:rPr>
          <w:highlight w:val="none"/>
        </w:rPr>
      </w:pPr>
      <w:bookmarkStart w:id="68" w:name="_Toc665"/>
      <w:bookmarkStart w:id="69" w:name="_Toc6061"/>
      <w:bookmarkStart w:id="70" w:name="_Toc79333457"/>
      <w:r>
        <w:rPr>
          <w:rFonts w:hint="eastAsia"/>
          <w:highlight w:val="none"/>
        </w:rPr>
        <w:t>六、其他需要说明的问题</w:t>
      </w:r>
      <w:bookmarkEnd w:id="68"/>
      <w:bookmarkEnd w:id="69"/>
      <w:bookmarkEnd w:id="70"/>
    </w:p>
    <w:p>
      <w:pPr>
        <w:ind w:firstLine="640"/>
        <w:rPr>
          <w:highlight w:val="none"/>
        </w:rPr>
      </w:pPr>
      <w:r>
        <w:rPr>
          <w:rFonts w:hint="eastAsia"/>
          <w:highlight w:val="none"/>
        </w:rPr>
        <w:t>无</w:t>
      </w:r>
    </w:p>
    <w:p>
      <w:pPr>
        <w:pStyle w:val="2"/>
      </w:pPr>
      <w:bookmarkStart w:id="71" w:name="_Toc3394"/>
      <w:bookmarkStart w:id="72" w:name="_Toc79333458"/>
      <w:bookmarkStart w:id="73" w:name="_Toc61882435"/>
      <w:bookmarkStart w:id="74" w:name="_Toc75871379"/>
      <w:bookmarkStart w:id="75" w:name="_Toc62030119"/>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4" w:type="default"/>
          <w:pgSz w:w="11906" w:h="16838"/>
          <w:pgMar w:top="1440" w:right="1800" w:bottom="1440" w:left="1800" w:header="851" w:footer="737" w:gutter="0"/>
          <w:pgNumType w:fmt="decimal" w:start="1"/>
          <w:cols w:space="0" w:num="1"/>
          <w:docGrid w:linePitch="312" w:charSpace="0"/>
        </w:sectPr>
      </w:pPr>
    </w:p>
    <w:p>
      <w:pPr>
        <w:pStyle w:val="3"/>
      </w:pPr>
      <w:bookmarkStart w:id="76" w:name="_Toc62030120"/>
      <w:bookmarkStart w:id="77" w:name="_Toc8706"/>
      <w:bookmarkStart w:id="78" w:name="_Toc79333459"/>
      <w:bookmarkStart w:id="79" w:name="_Toc61882642"/>
      <w:bookmarkStart w:id="80" w:name="_Toc75871380"/>
      <w:r>
        <w:rPr>
          <w:rFonts w:hint="eastAsia"/>
        </w:rPr>
        <w:t>附件一：项目绩效自评表</w:t>
      </w:r>
      <w:bookmarkEnd w:id="76"/>
      <w:bookmarkEnd w:id="77"/>
      <w:bookmarkEnd w:id="78"/>
      <w:bookmarkEnd w:id="79"/>
      <w:bookmarkEnd w:id="80"/>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iNzJhYWJiZDk5YzkxNGRlZWE5ZTdkMDFjMWE5MGE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9083694"/>
    <w:rsid w:val="09AB2202"/>
    <w:rsid w:val="0EE02FCE"/>
    <w:rsid w:val="10EB29C6"/>
    <w:rsid w:val="11D14067"/>
    <w:rsid w:val="1B002515"/>
    <w:rsid w:val="1BA50EE0"/>
    <w:rsid w:val="1C7925ED"/>
    <w:rsid w:val="1CBF4C66"/>
    <w:rsid w:val="1D456769"/>
    <w:rsid w:val="1E734EC5"/>
    <w:rsid w:val="21032E75"/>
    <w:rsid w:val="2449572C"/>
    <w:rsid w:val="25E7673D"/>
    <w:rsid w:val="2636356A"/>
    <w:rsid w:val="28577A06"/>
    <w:rsid w:val="2AE845D1"/>
    <w:rsid w:val="2E3C1390"/>
    <w:rsid w:val="30FD39D4"/>
    <w:rsid w:val="340A4177"/>
    <w:rsid w:val="358D1218"/>
    <w:rsid w:val="360509BD"/>
    <w:rsid w:val="37360FC5"/>
    <w:rsid w:val="3860354F"/>
    <w:rsid w:val="390B472B"/>
    <w:rsid w:val="394A3513"/>
    <w:rsid w:val="3B080524"/>
    <w:rsid w:val="3CF31F38"/>
    <w:rsid w:val="3E793690"/>
    <w:rsid w:val="3E7A663C"/>
    <w:rsid w:val="408C5853"/>
    <w:rsid w:val="40B05D7B"/>
    <w:rsid w:val="43901938"/>
    <w:rsid w:val="441E6300"/>
    <w:rsid w:val="4CB55F6E"/>
    <w:rsid w:val="4E992DD9"/>
    <w:rsid w:val="503A51A4"/>
    <w:rsid w:val="50C37060"/>
    <w:rsid w:val="52321ABE"/>
    <w:rsid w:val="533F163E"/>
    <w:rsid w:val="536F3258"/>
    <w:rsid w:val="55717B4E"/>
    <w:rsid w:val="55F834F4"/>
    <w:rsid w:val="56F53B80"/>
    <w:rsid w:val="5C421C32"/>
    <w:rsid w:val="5CD42C71"/>
    <w:rsid w:val="611B0B6F"/>
    <w:rsid w:val="63BF54E2"/>
    <w:rsid w:val="65091475"/>
    <w:rsid w:val="65A17FA7"/>
    <w:rsid w:val="66447F6F"/>
    <w:rsid w:val="666D63A3"/>
    <w:rsid w:val="69312D5B"/>
    <w:rsid w:val="6ABB68E5"/>
    <w:rsid w:val="6AEB2D33"/>
    <w:rsid w:val="6C933809"/>
    <w:rsid w:val="70493BA2"/>
    <w:rsid w:val="74AD3F2D"/>
    <w:rsid w:val="75BB1238"/>
    <w:rsid w:val="77753743"/>
    <w:rsid w:val="78841823"/>
    <w:rsid w:val="789E7920"/>
    <w:rsid w:val="79DB1F28"/>
    <w:rsid w:val="7B571CA8"/>
    <w:rsid w:val="7BF34CA6"/>
    <w:rsid w:val="7CDC2380"/>
    <w:rsid w:val="7E5F5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2"/>
    <w:link w:val="3"/>
    <w:qFormat/>
    <w:uiPriority w:val="9"/>
    <w:rPr>
      <w:rFonts w:ascii="楷体" w:hAnsi="楷体" w:eastAsia="楷体" w:cstheme="majorBidi"/>
      <w:b/>
      <w:bCs/>
      <w:kern w:val="2"/>
      <w:sz w:val="32"/>
      <w:szCs w:val="32"/>
    </w:rPr>
  </w:style>
  <w:style w:type="character" w:customStyle="1" w:styleId="18">
    <w:name w:val="页脚 字符"/>
    <w:basedOn w:val="12"/>
    <w:link w:val="8"/>
    <w:qFormat/>
    <w:uiPriority w:val="99"/>
    <w:rPr>
      <w:rFonts w:eastAsia="仿宋"/>
      <w:sz w:val="28"/>
      <w:szCs w:val="28"/>
    </w:rPr>
  </w:style>
  <w:style w:type="character" w:customStyle="1" w:styleId="19">
    <w:name w:val="标题 1 字符"/>
    <w:basedOn w:val="12"/>
    <w:link w:val="2"/>
    <w:qFormat/>
    <w:uiPriority w:val="9"/>
    <w:rPr>
      <w:rFonts w:ascii="黑体" w:hAnsi="黑体" w:eastAsia="黑体"/>
      <w:b/>
      <w:bCs/>
      <w:kern w:val="44"/>
      <w:sz w:val="32"/>
      <w:szCs w:val="32"/>
    </w:rPr>
  </w:style>
  <w:style w:type="character" w:customStyle="1" w:styleId="20">
    <w:name w:val="标题 3 字符"/>
    <w:basedOn w:val="12"/>
    <w:link w:val="4"/>
    <w:qFormat/>
    <w:uiPriority w:val="9"/>
    <w:rPr>
      <w:rFonts w:ascii="宋体" w:hAnsi="宋体" w:eastAsia="仿宋"/>
      <w:b/>
      <w:bCs/>
      <w:kern w:val="2"/>
      <w:sz w:val="32"/>
      <w:szCs w:val="32"/>
    </w:rPr>
  </w:style>
  <w:style w:type="character" w:customStyle="1" w:styleId="21">
    <w:name w:val="标题 4 字符"/>
    <w:basedOn w:val="12"/>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4260</Words>
  <Characters>4464</Characters>
  <Lines>42</Lines>
  <Paragraphs>11</Paragraphs>
  <TotalTime>5</TotalTime>
  <ScaleCrop>false</ScaleCrop>
  <LinksUpToDate>false</LinksUpToDate>
  <CharactersWithSpaces>4503</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cp:lastPrinted>2022-08-31T08:56:15Z</cp:lastPrinted>
  <dcterms:modified xsi:type="dcterms:W3CDTF">2022-08-31T08:57:26Z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8040E5319DF8438F9AF461AC7598704D</vt:lpwstr>
  </property>
</Properties>
</file>