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pPr>
      <w:bookmarkStart w:id="0" w:name="_Toc11908"/>
    </w:p>
    <w:p>
      <w:pPr>
        <w:ind w:firstLine="0" w:firstLineChars="0"/>
        <w:jc w:val="center"/>
        <w:rPr>
          <w:rFonts w:ascii="宋体" w:hAnsi="宋体" w:eastAsia="宋体"/>
          <w:b/>
          <w:sz w:val="52"/>
          <w:szCs w:val="52"/>
        </w:rPr>
      </w:pPr>
    </w:p>
    <w:p>
      <w:pPr>
        <w:pStyle w:val="29"/>
        <w:rPr>
          <w:rFonts w:ascii="宋体" w:hAnsi="宋体" w:cs="宋体"/>
          <w:sz w:val="52"/>
          <w:szCs w:val="52"/>
        </w:rPr>
      </w:pPr>
      <w:r>
        <w:rPr>
          <w:rFonts w:hint="eastAsia" w:ascii="宋体" w:hAnsi="宋体" w:cs="宋体"/>
          <w:sz w:val="52"/>
          <w:szCs w:val="52"/>
          <w:highlight w:val="none"/>
        </w:rPr>
        <w:t>工作经费</w:t>
      </w:r>
      <w:r>
        <w:rPr>
          <w:rFonts w:hint="eastAsia" w:ascii="宋体" w:hAnsi="宋体" w:cs="宋体"/>
          <w:sz w:val="52"/>
          <w:szCs w:val="52"/>
        </w:rPr>
        <w:t>项目</w:t>
      </w:r>
    </w:p>
    <w:p>
      <w:pPr>
        <w:pStyle w:val="29"/>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1"/>
      </w:pPr>
      <w:bookmarkStart w:id="77" w:name="_GoBack"/>
      <w:bookmarkEnd w:id="77"/>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共青团太康县委</w:t>
      </w: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r>
        <w:rPr>
          <w:rFonts w:hint="eastAsia" w:ascii="宋体" w:hAnsi="宋体" w:eastAsia="宋体"/>
          <w:b/>
          <w:highlight w:val="none"/>
          <w:lang w:val="en-US" w:eastAsia="zh-CN"/>
        </w:rPr>
        <w:t>10日</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color w:val="000000" w:themeColor="text1"/>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w:t>
      </w:r>
      <w:r>
        <w:rPr>
          <w:b/>
          <w:bCs/>
          <w:color w:val="000000" w:themeColor="text1"/>
          <w:sz w:val="36"/>
          <w:szCs w:val="36"/>
          <w:highlight w:val="none"/>
          <w14:textFill>
            <w14:solidFill>
              <w14:schemeClr w14:val="tx1"/>
            </w14:solidFill>
          </w14:textFill>
        </w:rPr>
        <w:t xml:space="preserve"> </w:t>
      </w:r>
      <w:r>
        <w:rPr>
          <w:rFonts w:hint="eastAsia"/>
          <w:b/>
          <w:bCs/>
          <w:color w:val="000000" w:themeColor="text1"/>
          <w:sz w:val="36"/>
          <w:szCs w:val="36"/>
          <w:highlight w:val="none"/>
          <w14:textFill>
            <w14:solidFill>
              <w14:schemeClr w14:val="tx1"/>
            </w14:solidFill>
          </w14:textFill>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79333431"/>
      <w:bookmarkStart w:id="5" w:name="_Toc8110"/>
      <w:r>
        <w:rPr>
          <w:rFonts w:hint="eastAsia"/>
        </w:rPr>
        <w:t>（一）项目基本信息</w:t>
      </w:r>
      <w:bookmarkEnd w:id="3"/>
      <w:bookmarkEnd w:id="4"/>
      <w:bookmarkEnd w:id="5"/>
    </w:p>
    <w:p>
      <w:pPr>
        <w:pStyle w:val="4"/>
        <w:ind w:firstLine="643"/>
        <w:rPr>
          <w:rFonts w:hint="eastAsia"/>
        </w:rPr>
      </w:pPr>
      <w:bookmarkStart w:id="6" w:name="_Toc79333432"/>
      <w:r>
        <w:rPr>
          <w:rFonts w:hint="eastAsia"/>
        </w:rPr>
        <w:t>1、项目背景</w:t>
      </w:r>
      <w:bookmarkEnd w:id="6"/>
    </w:p>
    <w:p>
      <w:pPr>
        <w:ind w:firstLine="640"/>
        <w:rPr>
          <w:rFonts w:hint="eastAsia" w:eastAsia="仿宋_GB2312"/>
          <w:highlight w:val="none"/>
          <w:lang w:val="en-US" w:eastAsia="zh-CN"/>
        </w:rPr>
      </w:pPr>
      <w:r>
        <w:rPr>
          <w:rFonts w:hint="eastAsia" w:ascii="仿宋" w:hAnsi="仿宋" w:eastAsia="仿宋" w:cs="宋体"/>
          <w:color w:val="333333"/>
          <w:kern w:val="0"/>
          <w:sz w:val="28"/>
          <w:szCs w:val="28"/>
          <w:lang w:val="en-US" w:eastAsia="zh-CN"/>
        </w:rPr>
        <w:t xml:space="preserve">  </w:t>
      </w:r>
      <w:r>
        <w:rPr>
          <w:rFonts w:hint="eastAsia"/>
          <w:highlight w:val="none"/>
          <w:lang w:val="en-US" w:eastAsia="zh-CN"/>
        </w:rPr>
        <w:t>单位职责职能：领导全县共青团工作，领导全县青联、学联和少先队工作，对全县青年社团组织实行指导和管理。参与制定青少年发展规划、工作方针、政策，对青少年活动阵地、报刊、服务机构的建设和青少年读物出版等事务进行规划和管理。贯彻实施有关青少年事务的法律、法规，协助党和政府处理协调与青少年利益相关的事务。调查青少年思想动态和思想教育问题，提出相应对策，开展各种活动。在全县经济建设中，组织和带领团员青年发挥生力军和突击队作用。承担县委、县政府、团市委交办的有关事项。</w:t>
      </w:r>
      <w:r>
        <w:rPr>
          <w:rFonts w:hint="eastAsia" w:ascii="仿宋" w:hAnsi="仿宋" w:eastAsia="仿宋" w:cs="宋体"/>
          <w:color w:val="333333"/>
          <w:kern w:val="0"/>
          <w:sz w:val="28"/>
          <w:szCs w:val="28"/>
          <w:lang w:val="en-US" w:eastAsia="zh-CN"/>
        </w:rPr>
        <w:t xml:space="preserve"> </w:t>
      </w:r>
    </w:p>
    <w:p>
      <w:pPr>
        <w:pStyle w:val="4"/>
        <w:ind w:firstLine="643"/>
        <w:rPr>
          <w:b/>
          <w:bCs/>
          <w:highlight w:val="yellow"/>
        </w:rPr>
      </w:pPr>
      <w:bookmarkStart w:id="7" w:name="_Toc79333433"/>
      <w:r>
        <w:rPr>
          <w:rFonts w:hint="eastAsia"/>
        </w:rPr>
        <w:t>2、项目实施内容</w:t>
      </w:r>
      <w:bookmarkEnd w:id="7"/>
    </w:p>
    <w:p>
      <w:pPr>
        <w:pStyle w:val="3"/>
        <w:rPr>
          <w:rFonts w:hint="eastAsia" w:ascii="仿宋" w:hAnsi="仿宋" w:eastAsia="仿宋" w:cstheme="minorBidi"/>
          <w:b w:val="0"/>
          <w:bCs w:val="0"/>
          <w:kern w:val="2"/>
          <w:sz w:val="32"/>
          <w:szCs w:val="32"/>
          <w:highlight w:val="none"/>
          <w:lang w:val="en-US" w:eastAsia="zh-CN" w:bidi="ar-SA"/>
        </w:rPr>
      </w:pPr>
      <w:bookmarkStart w:id="8" w:name="_Toc14372"/>
      <w:bookmarkStart w:id="9" w:name="_Toc79333434"/>
      <w:bookmarkStart w:id="10" w:name="_Toc17607"/>
      <w:r>
        <w:rPr>
          <w:rFonts w:hint="eastAsia" w:ascii="仿宋" w:hAnsi="仿宋" w:eastAsia="仿宋" w:cstheme="minorBidi"/>
          <w:b w:val="0"/>
          <w:bCs w:val="0"/>
          <w:kern w:val="2"/>
          <w:sz w:val="32"/>
          <w:szCs w:val="32"/>
          <w:highlight w:val="none"/>
          <w:lang w:val="en-US" w:eastAsia="zh-CN" w:bidi="ar-SA"/>
        </w:rPr>
        <w:t xml:space="preserve"> 加强青少年思想政治教育、加强基层团组织建设、少先队建设、提高青少年环境保护意识；助力乡村振兴、服务青年就业创业、预防青少年违法犯罪、开展青年志愿服务活动、关爱留守儿童、维护青少年合法权益等；</w:t>
      </w:r>
    </w:p>
    <w:p>
      <w:pPr>
        <w:pStyle w:val="3"/>
      </w:pPr>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35.2</w:t>
      </w:r>
      <w:r>
        <w:rPr>
          <w:rFonts w:hint="eastAsia"/>
          <w:highlight w:val="none"/>
        </w:rPr>
        <w:t>万元，当年实际执行</w:t>
      </w:r>
      <w:r>
        <w:rPr>
          <w:rFonts w:hint="eastAsia"/>
          <w:highlight w:val="none"/>
          <w:lang w:val="en-US" w:eastAsia="zh-CN"/>
        </w:rPr>
        <w:t>35.2</w:t>
      </w:r>
      <w:r>
        <w:rPr>
          <w:rFonts w:hint="eastAsia"/>
          <w:highlight w:val="none"/>
        </w:rPr>
        <w:t>万元。</w:t>
      </w:r>
    </w:p>
    <w:p>
      <w:pPr>
        <w:pStyle w:val="4"/>
        <w:ind w:firstLine="643"/>
      </w:pPr>
      <w:bookmarkStart w:id="13" w:name="_Toc79333436"/>
      <w:bookmarkStart w:id="14" w:name="_Toc18098"/>
      <w:r>
        <w:rPr>
          <w:rFonts w:hint="eastAsia"/>
        </w:rPr>
        <w:t>2、项目预算执行情况</w:t>
      </w:r>
      <w:bookmarkEnd w:id="13"/>
      <w:bookmarkEnd w:id="14"/>
    </w:p>
    <w:p>
      <w:pPr>
        <w:ind w:firstLine="640"/>
        <w:jc w:val="left"/>
        <w:rPr>
          <w:rFonts w:hint="eastAsia" w:eastAsia="仿宋"/>
          <w:highlight w:val="none"/>
          <w:lang w:eastAsia="zh-CN"/>
        </w:rPr>
      </w:pPr>
      <w:r>
        <w:rPr>
          <w:rFonts w:hint="eastAsia"/>
          <w:highlight w:val="none"/>
        </w:rPr>
        <w:t>项目实际支出</w:t>
      </w:r>
      <w:r>
        <w:rPr>
          <w:rFonts w:hint="eastAsia"/>
          <w:highlight w:val="none"/>
          <w:lang w:val="en-US" w:eastAsia="zh-CN"/>
        </w:rPr>
        <w:t>35.2</w:t>
      </w:r>
      <w:r>
        <w:rPr>
          <w:rFonts w:hint="eastAsia"/>
          <w:highlight w:val="none"/>
        </w:rPr>
        <w:t>万元</w:t>
      </w:r>
      <w:r>
        <w:rPr>
          <w:rFonts w:hint="eastAsia"/>
          <w:highlight w:val="none"/>
          <w:lang w:eastAsia="zh-CN"/>
        </w:rPr>
        <w:t>，用于</w:t>
      </w:r>
      <w:r>
        <w:rPr>
          <w:rFonts w:hint="eastAsia" w:ascii="仿宋" w:hAnsi="仿宋" w:eastAsia="仿宋" w:cstheme="minorBidi"/>
          <w:b w:val="0"/>
          <w:bCs w:val="0"/>
          <w:kern w:val="2"/>
          <w:sz w:val="32"/>
          <w:szCs w:val="32"/>
          <w:highlight w:val="none"/>
          <w:lang w:val="en-US" w:eastAsia="zh-CN" w:bidi="ar-SA"/>
        </w:rPr>
        <w:t>加强青少年思想政治教育、加强基层团组织建设、少先队建设、提高青少年环境保护意识；助力乡村振兴、服务青年就业创业、预防青少年违法犯罪、开展青年志愿服务活动、关爱留守儿童、维护青少年合法权益等；</w:t>
      </w:r>
    </w:p>
    <w:p>
      <w:pPr>
        <w:pStyle w:val="2"/>
      </w:pPr>
      <w:bookmarkStart w:id="15" w:name="_Toc79333437"/>
      <w:bookmarkStart w:id="16" w:name="_Toc10420"/>
      <w:bookmarkStart w:id="17" w:name="_Toc1209"/>
      <w:bookmarkStart w:id="18" w:name="_Toc75871361"/>
      <w:r>
        <w:rPr>
          <w:rFonts w:hint="eastAsia"/>
        </w:rPr>
        <w:t>二、绩效自评工作开展情况</w:t>
      </w:r>
      <w:bookmarkEnd w:id="15"/>
      <w:bookmarkEnd w:id="16"/>
      <w:bookmarkEnd w:id="17"/>
      <w:bookmarkEnd w:id="18"/>
    </w:p>
    <w:p>
      <w:pPr>
        <w:pStyle w:val="3"/>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3060"/>
      <w:bookmarkStart w:id="23" w:name="_Toc5617"/>
      <w:bookmarkStart w:id="24" w:name="_Toc79333439"/>
      <w:bookmarkStart w:id="25" w:name="_Toc75871363"/>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rPr>
        <w:t>工作经费</w:t>
      </w:r>
      <w:r>
        <w:rPr>
          <w:rFonts w:hint="eastAsia"/>
          <w:highlight w:val="none"/>
        </w:rPr>
        <w:t>项目专项资金，评价范围为涉及该项目管理及其预算资金</w:t>
      </w:r>
      <w:r>
        <w:rPr>
          <w:rFonts w:hint="eastAsia"/>
          <w:highlight w:val="none"/>
          <w:lang w:val="en-US" w:eastAsia="zh-CN"/>
        </w:rPr>
        <w:t>35.2</w:t>
      </w:r>
      <w:r>
        <w:rPr>
          <w:rFonts w:hint="eastAsia"/>
          <w:highlight w:val="none"/>
        </w:rPr>
        <w:t>万元的使用情况。</w:t>
      </w:r>
    </w:p>
    <w:p>
      <w:pPr>
        <w:pStyle w:val="3"/>
      </w:pPr>
      <w:bookmarkStart w:id="26" w:name="_Toc79333440"/>
      <w:bookmarkStart w:id="27" w:name="_Toc12774"/>
      <w:bookmarkStart w:id="28" w:name="_Toc816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9333441"/>
      <w:bookmarkStart w:id="31" w:name="_Toc75871365"/>
      <w:bookmarkStart w:id="32" w:name="_Toc9578"/>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24506"/>
      <w:bookmarkStart w:id="39" w:name="_Toc79333443"/>
      <w:r>
        <w:rPr>
          <w:rFonts w:hint="eastAsia"/>
        </w:rPr>
        <w:t>三、绩效自评结果及分析</w:t>
      </w:r>
      <w:bookmarkEnd w:id="38"/>
      <w:bookmarkEnd w:id="39"/>
    </w:p>
    <w:p>
      <w:pPr>
        <w:pStyle w:val="3"/>
      </w:pPr>
      <w:bookmarkStart w:id="40" w:name="_Toc25356"/>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rFonts w:hint="eastAsia"/>
        </w:rPr>
      </w:pPr>
      <w:r>
        <w:rPr>
          <w:rFonts w:hint="eastAsia"/>
        </w:rPr>
        <w:t>我单位通过对本项目调查研究、座谈、查阅相关资料，根据相关政策要求进行打分，最终项目自评价得分为</w:t>
      </w:r>
      <w:r>
        <w:rPr>
          <w:rFonts w:hint="eastAsia"/>
          <w:highlight w:val="none"/>
          <w:lang w:val="en-US" w:eastAsia="zh-CN"/>
        </w:rPr>
        <w:t>95</w:t>
      </w:r>
      <w:r>
        <w:rPr>
          <w:rFonts w:hint="eastAsia"/>
          <w:highlight w:val="none"/>
        </w:rPr>
        <w:t>分，</w:t>
      </w:r>
      <w:r>
        <w:rPr>
          <w:rFonts w:hint="eastAsia"/>
        </w:rPr>
        <w:t>评价结果为</w:t>
      </w:r>
      <w:r>
        <w:rPr>
          <w:rFonts w:hint="eastAsia"/>
          <w:highlight w:val="none"/>
        </w:rPr>
        <w:t>“</w:t>
      </w:r>
      <w:r>
        <w:rPr>
          <w:rFonts w:hint="eastAsia"/>
          <w:highlight w:val="none"/>
          <w:lang w:eastAsia="zh-CN"/>
        </w:rPr>
        <w:t>优</w:t>
      </w:r>
      <w:r>
        <w:rPr>
          <w:rFonts w:hint="eastAsia"/>
          <w:highlight w:val="none"/>
        </w:rPr>
        <w:t>”</w:t>
      </w:r>
      <w:r>
        <w:rPr>
          <w:rFonts w:hint="eastAsia"/>
        </w:rPr>
        <w:t>。各项指标具体得分情况如下表</w:t>
      </w:r>
      <w:r>
        <w:t>3</w:t>
      </w:r>
      <w:r>
        <w:rPr>
          <w:rFonts w:hint="eastAsia"/>
        </w:rPr>
        <w:t>.1所示</w:t>
      </w:r>
    </w:p>
    <w:p>
      <w:pPr>
        <w:pStyle w:val="21"/>
        <w:ind w:firstLine="643"/>
      </w:pPr>
      <w:r>
        <w:rPr>
          <w:rFonts w:hint="eastAsia"/>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实际得分</w:t>
            </w:r>
          </w:p>
        </w:tc>
      </w:tr>
      <w:tr>
        <w:tblPrEx>
          <w:tblCellMar>
            <w:top w:w="0" w:type="dxa"/>
            <w:left w:w="108" w:type="dxa"/>
            <w:bottom w:w="0" w:type="dxa"/>
            <w:right w:w="108" w:type="dxa"/>
          </w:tblCellMar>
        </w:tblPrEx>
        <w:trPr>
          <w:trHeight w:val="452"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100%</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442" w:hRule="atLeast"/>
          <w:jc w:val="center"/>
        </w:trPr>
        <w:tc>
          <w:tcPr>
            <w:tcW w:w="772" w:type="pct"/>
            <w:vMerge w:val="restart"/>
            <w:tcBorders>
              <w:left w:val="single" w:color="auto" w:sz="4" w:space="0"/>
              <w:right w:val="single" w:color="auto" w:sz="4" w:space="0"/>
            </w:tcBorders>
            <w:vAlign w:val="center"/>
          </w:tcPr>
          <w:p>
            <w:pPr>
              <w:pStyle w:val="20"/>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20"/>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eastAsia="仿宋"/>
                <w:highlight w:val="none"/>
                <w:lang w:eastAsia="zh-CN"/>
              </w:rPr>
              <w:t>开展青少年思政教育</w:t>
            </w:r>
            <w:r>
              <w:rPr>
                <w:rFonts w:hint="eastAsia"/>
                <w:highlight w:val="none"/>
                <w:lang w:eastAsia="zh-CN"/>
              </w:rPr>
              <w:t>活动活动</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助力</w:t>
            </w:r>
            <w:r>
              <w:rPr>
                <w:rFonts w:hint="eastAsia"/>
                <w:highlight w:val="none"/>
                <w:lang w:eastAsia="zh-CN"/>
              </w:rPr>
              <w:t>乡村振兴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7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服务青年就业创业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开展青年志愿服务活动</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 xml:space="preserve">开展关爱留守儿童活动 </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 xml:space="preserve"> 维护青少年合法权益</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restart"/>
            <w:tcBorders>
              <w:top w:val="single" w:color="auto" w:sz="4" w:space="0"/>
              <w:left w:val="single" w:color="auto" w:sz="4" w:space="0"/>
              <w:right w:val="single" w:color="auto" w:sz="4" w:space="0"/>
            </w:tcBorders>
            <w:vAlign w:val="center"/>
          </w:tcPr>
          <w:p>
            <w:pPr>
              <w:pStyle w:val="20"/>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活动参与率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lang w:eastAsia="zh-CN"/>
              </w:rPr>
              <w:t>计划完成率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7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right w:val="single" w:color="auto" w:sz="4" w:space="0"/>
            </w:tcBorders>
            <w:vAlign w:val="center"/>
          </w:tcPr>
          <w:p>
            <w:pPr>
              <w:pStyle w:val="20"/>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5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8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rFonts w:hint="eastAsia"/>
              </w:rPr>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r>
              <w:rPr>
                <w:rFonts w:hint="eastAsia"/>
                <w:highlight w:val="none"/>
              </w:rPr>
              <w:t>加强了全县团员青年的思想引导；为广大青年提供创业咨询、创业帮扶等服务；对贫困学生进行助学帮扶；带领青少年开展志愿服务活动；发挥示范带头作用，传递社会正能量</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r>
      <w:tr>
        <w:tblPrEx>
          <w:tblCellMar>
            <w:top w:w="0" w:type="dxa"/>
            <w:left w:w="108" w:type="dxa"/>
            <w:bottom w:w="0" w:type="dxa"/>
            <w:right w:w="108" w:type="dxa"/>
          </w:tblCellMar>
        </w:tblPrEx>
        <w:trPr>
          <w:trHeight w:val="84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20"/>
              <w:rPr>
                <w:highlight w:val="none"/>
              </w:rPr>
            </w:pPr>
            <w:r>
              <w:rPr>
                <w:rFonts w:hint="eastAsia"/>
                <w:highlight w:val="none"/>
              </w:rPr>
              <w:t>持续开展各类思想教育活动，引导青少年健康成长</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Pr>
            <w:r>
              <w:rPr>
                <w:rFonts w:hint="eastAsia"/>
              </w:rPr>
              <w:t>满意度</w:t>
            </w:r>
          </w:p>
          <w:p>
            <w:pPr>
              <w:pStyle w:val="20"/>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lang w:val="en-US" w:eastAsia="zh-CN"/>
              </w:rPr>
              <w:t>受益对象满意</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sz w:val="28"/>
                <w:szCs w:val="28"/>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95</w:t>
            </w:r>
          </w:p>
        </w:tc>
      </w:tr>
    </w:tbl>
    <w:p>
      <w:pPr>
        <w:pStyle w:val="3"/>
      </w:pPr>
      <w:bookmarkStart w:id="43" w:name="_Toc79333445"/>
      <w:bookmarkStart w:id="44" w:name="_Toc31442"/>
      <w:bookmarkStart w:id="45" w:name="_Toc24245"/>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35.2</w:t>
      </w:r>
      <w:r>
        <w:rPr>
          <w:rFonts w:hint="eastAsia"/>
          <w:highlight w:val="none"/>
        </w:rPr>
        <w:t>万元，全年执行数为</w:t>
      </w:r>
      <w:r>
        <w:rPr>
          <w:rFonts w:hint="eastAsia"/>
          <w:highlight w:val="none"/>
          <w:lang w:val="en-US" w:eastAsia="zh-CN"/>
        </w:rPr>
        <w:t>35.2</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eastAsia="zh-CN"/>
        </w:rPr>
        <w:t>六</w:t>
      </w:r>
      <w:r>
        <w:rPr>
          <w:rFonts w:hint="eastAsia"/>
          <w:highlight w:val="none"/>
        </w:rPr>
        <w:t>个三级指标“</w:t>
      </w:r>
      <w:r>
        <w:rPr>
          <w:rFonts w:hint="eastAsia"/>
          <w:highlight w:val="none"/>
          <w:lang w:eastAsia="zh-CN"/>
        </w:rPr>
        <w:t>开展青少年思政教育活动</w:t>
      </w:r>
      <w:r>
        <w:rPr>
          <w:rFonts w:hint="eastAsia"/>
          <w:highlight w:val="none"/>
        </w:rPr>
        <w:t>”</w:t>
      </w:r>
      <w:r>
        <w:rPr>
          <w:rFonts w:hint="eastAsia"/>
          <w:highlight w:val="none"/>
          <w:lang w:eastAsia="zh-CN"/>
        </w:rPr>
        <w:t>、</w:t>
      </w:r>
      <w:r>
        <w:rPr>
          <w:rFonts w:hint="eastAsia"/>
          <w:highlight w:val="none"/>
        </w:rPr>
        <w:t>“</w:t>
      </w:r>
      <w:r>
        <w:rPr>
          <w:rFonts w:hint="eastAsia"/>
          <w:highlight w:val="none"/>
          <w:lang w:eastAsia="zh-CN"/>
        </w:rPr>
        <w:t>助力乡村振兴</w:t>
      </w:r>
      <w:r>
        <w:rPr>
          <w:rFonts w:hint="eastAsia"/>
          <w:highlight w:val="none"/>
        </w:rPr>
        <w:t>”</w:t>
      </w:r>
      <w:r>
        <w:rPr>
          <w:rFonts w:hint="eastAsia"/>
          <w:highlight w:val="none"/>
          <w:lang w:eastAsia="zh-CN"/>
        </w:rPr>
        <w:t>、</w:t>
      </w:r>
      <w:r>
        <w:rPr>
          <w:rFonts w:hint="eastAsia"/>
          <w:highlight w:val="none"/>
        </w:rPr>
        <w:t>“服务青年就业创业”</w:t>
      </w:r>
      <w:r>
        <w:rPr>
          <w:rFonts w:hint="eastAsia"/>
          <w:highlight w:val="none"/>
          <w:lang w:eastAsia="zh-CN"/>
        </w:rPr>
        <w:t>、</w:t>
      </w:r>
      <w:r>
        <w:rPr>
          <w:rFonts w:hint="eastAsia"/>
          <w:highlight w:val="none"/>
        </w:rPr>
        <w:t>“开展青年志愿服务活动”</w:t>
      </w:r>
      <w:r>
        <w:rPr>
          <w:rFonts w:hint="eastAsia"/>
          <w:highlight w:val="none"/>
          <w:lang w:eastAsia="zh-CN"/>
        </w:rPr>
        <w:t>、</w:t>
      </w:r>
      <w:r>
        <w:rPr>
          <w:rFonts w:hint="eastAsia"/>
          <w:highlight w:val="none"/>
        </w:rPr>
        <w:t>“开展关爱留守儿童活动”</w:t>
      </w:r>
      <w:r>
        <w:rPr>
          <w:rFonts w:hint="eastAsia"/>
          <w:highlight w:val="none"/>
          <w:lang w:eastAsia="zh-CN"/>
        </w:rPr>
        <w:t>、</w:t>
      </w:r>
      <w:r>
        <w:rPr>
          <w:rFonts w:hint="eastAsia"/>
          <w:highlight w:val="none"/>
        </w:rPr>
        <w:t>“维护青少年合法权益”。</w:t>
      </w:r>
    </w:p>
    <w:p>
      <w:pPr>
        <w:ind w:firstLine="640"/>
        <w:rPr>
          <w:rFonts w:hint="eastAsia" w:eastAsia="仿宋"/>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eastAsia="仿宋"/>
          <w:highlight w:val="none"/>
          <w:lang w:eastAsia="zh-CN"/>
        </w:rPr>
        <w:t>开展青少年思政教育</w:t>
      </w:r>
      <w:r>
        <w:rPr>
          <w:rFonts w:hint="eastAsia"/>
          <w:highlight w:val="none"/>
          <w:lang w:eastAsia="zh-CN"/>
        </w:rPr>
        <w:t>活动场次为</w:t>
      </w:r>
      <w:r>
        <w:rPr>
          <w:rFonts w:hint="eastAsia"/>
          <w:highlight w:val="none"/>
          <w:lang w:val="en-US" w:eastAsia="zh-CN"/>
        </w:rPr>
        <w:t>5场，</w:t>
      </w:r>
      <w:r>
        <w:rPr>
          <w:rFonts w:hint="eastAsia"/>
          <w:highlight w:val="none"/>
          <w:lang w:eastAsia="zh-CN"/>
        </w:rPr>
        <w:t>实际完成</w:t>
      </w:r>
      <w:r>
        <w:rPr>
          <w:rFonts w:hint="eastAsia"/>
          <w:highlight w:val="none"/>
          <w:lang w:val="en-US" w:eastAsia="zh-CN"/>
        </w:rPr>
        <w:t>5场；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；助力</w:t>
      </w:r>
      <w:r>
        <w:rPr>
          <w:rFonts w:hint="eastAsia"/>
          <w:highlight w:val="none"/>
          <w:lang w:eastAsia="zh-CN"/>
        </w:rPr>
        <w:t>乡村振兴活动场次为</w:t>
      </w:r>
      <w:r>
        <w:rPr>
          <w:rFonts w:hint="eastAsia"/>
          <w:highlight w:val="none"/>
          <w:lang w:val="en-US" w:eastAsia="zh-CN"/>
        </w:rPr>
        <w:t>8场</w:t>
      </w:r>
      <w:r>
        <w:rPr>
          <w:rFonts w:hint="eastAsia"/>
          <w:highlight w:val="none"/>
        </w:rPr>
        <w:t>，</w:t>
      </w:r>
      <w:r>
        <w:rPr>
          <w:rFonts w:hint="eastAsia"/>
          <w:highlight w:val="none"/>
          <w:lang w:eastAsia="zh-CN"/>
        </w:rPr>
        <w:t>实际完成</w:t>
      </w:r>
      <w:r>
        <w:rPr>
          <w:rFonts w:hint="eastAsia"/>
          <w:highlight w:val="none"/>
          <w:lang w:val="en-US" w:eastAsia="zh-CN"/>
        </w:rPr>
        <w:t>8场；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val="en-US" w:eastAsia="zh-CN"/>
        </w:rPr>
        <w:t>服务青年就业创业</w:t>
      </w:r>
      <w:r>
        <w:rPr>
          <w:rFonts w:hint="eastAsia"/>
          <w:highlight w:val="none"/>
          <w:lang w:eastAsia="zh-CN"/>
        </w:rPr>
        <w:t>活动场次为</w:t>
      </w:r>
      <w:r>
        <w:rPr>
          <w:rFonts w:hint="eastAsia"/>
          <w:highlight w:val="none"/>
          <w:lang w:val="en-US" w:eastAsia="zh-CN"/>
        </w:rPr>
        <w:t>3场，</w:t>
      </w:r>
      <w:r>
        <w:rPr>
          <w:rFonts w:hint="eastAsia"/>
          <w:highlight w:val="none"/>
          <w:lang w:eastAsia="zh-CN"/>
        </w:rPr>
        <w:t>实际完成</w:t>
      </w:r>
      <w:r>
        <w:rPr>
          <w:rFonts w:hint="eastAsia"/>
          <w:highlight w:val="none"/>
          <w:lang w:val="en-US" w:eastAsia="zh-CN"/>
        </w:rPr>
        <w:t>3场；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；开展青年志愿服务活动</w:t>
      </w:r>
      <w:r>
        <w:rPr>
          <w:rFonts w:hint="eastAsia"/>
          <w:highlight w:val="none"/>
          <w:lang w:eastAsia="zh-CN"/>
        </w:rPr>
        <w:t>场次为</w:t>
      </w:r>
      <w:r>
        <w:rPr>
          <w:rFonts w:hint="eastAsia"/>
          <w:highlight w:val="none"/>
          <w:lang w:val="en-US" w:eastAsia="zh-CN"/>
        </w:rPr>
        <w:t>15场，受疫情影响</w:t>
      </w:r>
      <w:r>
        <w:rPr>
          <w:rFonts w:hint="eastAsia"/>
          <w:highlight w:val="none"/>
          <w:lang w:eastAsia="zh-CN"/>
        </w:rPr>
        <w:t>实际完成</w:t>
      </w:r>
      <w:r>
        <w:rPr>
          <w:rFonts w:hint="eastAsia"/>
          <w:highlight w:val="none"/>
          <w:lang w:val="en-US" w:eastAsia="zh-CN"/>
        </w:rPr>
        <w:t>12场；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3</w:t>
      </w:r>
      <w:r>
        <w:rPr>
          <w:highlight w:val="none"/>
        </w:rPr>
        <w:t>分</w:t>
      </w:r>
      <w:r>
        <w:rPr>
          <w:rFonts w:hint="eastAsia"/>
          <w:highlight w:val="none"/>
        </w:rPr>
        <w:t>；</w:t>
      </w:r>
      <w:r>
        <w:rPr>
          <w:rFonts w:hint="eastAsia"/>
          <w:highlight w:val="none"/>
          <w:lang w:val="en-US" w:eastAsia="zh-CN"/>
        </w:rPr>
        <w:t>开展关爱留守儿童活动</w:t>
      </w:r>
      <w:r>
        <w:rPr>
          <w:rFonts w:hint="eastAsia"/>
          <w:highlight w:val="none"/>
          <w:lang w:eastAsia="zh-CN"/>
        </w:rPr>
        <w:t>场次为</w:t>
      </w:r>
      <w:r>
        <w:rPr>
          <w:rFonts w:hint="eastAsia"/>
          <w:highlight w:val="none"/>
          <w:lang w:val="en-US" w:eastAsia="zh-CN"/>
        </w:rPr>
        <w:t>3场，</w:t>
      </w:r>
      <w:r>
        <w:rPr>
          <w:rFonts w:hint="eastAsia"/>
          <w:highlight w:val="none"/>
          <w:lang w:eastAsia="zh-CN"/>
        </w:rPr>
        <w:t>实际完成</w:t>
      </w:r>
      <w:r>
        <w:rPr>
          <w:rFonts w:hint="eastAsia"/>
          <w:highlight w:val="none"/>
          <w:lang w:val="en-US" w:eastAsia="zh-CN"/>
        </w:rPr>
        <w:t>3场；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w:t>
      </w:r>
      <w:r>
        <w:rPr>
          <w:rFonts w:hint="eastAsia"/>
          <w:highlight w:val="none"/>
        </w:rPr>
        <w:t>维护青少年合法权益</w:t>
      </w:r>
      <w:r>
        <w:rPr>
          <w:rFonts w:hint="eastAsia"/>
          <w:highlight w:val="none"/>
          <w:lang w:val="en-US" w:eastAsia="zh-CN"/>
        </w:rPr>
        <w:t>活动</w:t>
      </w:r>
      <w:r>
        <w:rPr>
          <w:rFonts w:hint="eastAsia"/>
          <w:highlight w:val="none"/>
          <w:lang w:eastAsia="zh-CN"/>
        </w:rPr>
        <w:t>场次为</w:t>
      </w:r>
      <w:r>
        <w:rPr>
          <w:rFonts w:hint="eastAsia"/>
          <w:highlight w:val="none"/>
          <w:lang w:val="en-US" w:eastAsia="zh-CN"/>
        </w:rPr>
        <w:t>3场，</w:t>
      </w:r>
      <w:r>
        <w:rPr>
          <w:rFonts w:hint="eastAsia"/>
          <w:highlight w:val="none"/>
          <w:lang w:eastAsia="zh-CN"/>
        </w:rPr>
        <w:t>实际完成</w:t>
      </w:r>
      <w:r>
        <w:rPr>
          <w:rFonts w:hint="eastAsia"/>
          <w:highlight w:val="none"/>
          <w:lang w:val="en-US" w:eastAsia="zh-CN"/>
        </w:rPr>
        <w:t>3场；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28</w:t>
      </w:r>
      <w:r>
        <w:rPr>
          <w:highlight w:val="none"/>
        </w:rPr>
        <w:t>分。</w:t>
      </w:r>
    </w:p>
    <w:p>
      <w:pPr>
        <w:ind w:firstLine="640"/>
        <w:rPr>
          <w:highlight w:val="none"/>
        </w:rPr>
      </w:pPr>
      <w:r>
        <w:rPr>
          <w:rFonts w:hint="eastAsia"/>
        </w:rPr>
        <w:t>（2）质量指标</w:t>
      </w:r>
    </w:p>
    <w:p>
      <w:pPr>
        <w:ind w:firstLine="640"/>
        <w:rPr>
          <w:highlight w:val="none"/>
        </w:rPr>
      </w:pPr>
      <w:r>
        <w:rPr>
          <w:rFonts w:hint="eastAsia"/>
          <w:highlight w:val="none"/>
        </w:rPr>
        <w:t>“质量指标”下设二个三级指标“</w:t>
      </w:r>
      <w:r>
        <w:rPr>
          <w:rFonts w:hint="eastAsia"/>
          <w:highlight w:val="none"/>
          <w:lang w:eastAsia="zh-CN"/>
        </w:rPr>
        <w:t>活动参与率</w:t>
      </w:r>
      <w:r>
        <w:rPr>
          <w:rFonts w:hint="eastAsia"/>
          <w:highlight w:val="none"/>
        </w:rPr>
        <w:t>”和“</w:t>
      </w:r>
      <w:r>
        <w:rPr>
          <w:rFonts w:hint="eastAsia"/>
          <w:highlight w:val="none"/>
          <w:lang w:eastAsia="zh-CN"/>
        </w:rPr>
        <w:t>计划完成率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该</w:t>
      </w:r>
      <w:r>
        <w:rPr>
          <w:rFonts w:hint="eastAsia"/>
          <w:highlight w:val="none"/>
        </w:rPr>
        <w:t>项目“</w:t>
      </w:r>
      <w:r>
        <w:rPr>
          <w:rFonts w:hint="eastAsia"/>
          <w:highlight w:val="none"/>
          <w:lang w:eastAsia="zh-CN"/>
        </w:rPr>
        <w:t>活动参与率</w:t>
      </w:r>
      <w:r>
        <w:rPr>
          <w:rFonts w:hint="eastAsia"/>
          <w:highlight w:val="none"/>
        </w:rPr>
        <w:t>”需达到≥9</w:t>
      </w:r>
      <w:r>
        <w:rPr>
          <w:rFonts w:hint="eastAsia"/>
          <w:highlight w:val="none"/>
          <w:lang w:val="en-US" w:eastAsia="zh-CN"/>
        </w:rPr>
        <w:t>8</w:t>
      </w:r>
      <w:r>
        <w:rPr>
          <w:rFonts w:hint="eastAsia"/>
          <w:highlight w:val="none"/>
        </w:rPr>
        <w:t>%，</w:t>
      </w:r>
      <w:r>
        <w:rPr>
          <w:rFonts w:hint="eastAsia"/>
          <w:highlight w:val="none"/>
          <w:lang w:eastAsia="zh-CN"/>
        </w:rPr>
        <w:t>实际完成</w:t>
      </w:r>
      <w:r>
        <w:rPr>
          <w:rFonts w:hint="eastAsia"/>
          <w:highlight w:val="none"/>
          <w:lang w:val="en-US" w:eastAsia="zh-CN"/>
        </w:rPr>
        <w:t>98%，</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eastAsia="zh-CN"/>
        </w:rPr>
        <w:t>活动计划完成率</w:t>
      </w:r>
      <w:r>
        <w:rPr>
          <w:rFonts w:hint="eastAsia"/>
          <w:highlight w:val="none"/>
        </w:rPr>
        <w:t>”需达到</w:t>
      </w:r>
      <w:r>
        <w:rPr>
          <w:rFonts w:hint="eastAsia"/>
          <w:highlight w:val="none"/>
          <w:lang w:val="en-US" w:eastAsia="zh-CN"/>
        </w:rPr>
        <w:t>≥98%</w:t>
      </w:r>
      <w:r>
        <w:rPr>
          <w:rFonts w:hint="eastAsia"/>
          <w:highlight w:val="none"/>
        </w:rPr>
        <w:t>，</w:t>
      </w:r>
      <w:r>
        <w:rPr>
          <w:rFonts w:hint="eastAsia"/>
          <w:highlight w:val="none"/>
          <w:lang w:eastAsia="zh-CN"/>
        </w:rPr>
        <w:t>实际完成</w:t>
      </w:r>
      <w:r>
        <w:rPr>
          <w:rFonts w:hint="eastAsia"/>
          <w:highlight w:val="none"/>
          <w:lang w:val="en-US" w:eastAsia="zh-CN"/>
        </w:rPr>
        <w:t>98%，</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p>
    <w:p>
      <w:pPr>
        <w:ind w:firstLine="640"/>
        <w:rPr>
          <w:highlight w:val="yellow"/>
        </w:rPr>
      </w:pPr>
      <w:r>
        <w:rPr>
          <w:rFonts w:hint="eastAsia"/>
          <w:highlight w:val="none"/>
        </w:rPr>
        <w:t>综上所述，根据评分标准，质量指标实际得</w:t>
      </w:r>
      <w:r>
        <w:rPr>
          <w:rFonts w:hint="eastAsia"/>
          <w:highlight w:val="none"/>
          <w:lang w:val="en-US" w:eastAsia="zh-CN"/>
        </w:rPr>
        <w:t>10</w:t>
      </w:r>
      <w:r>
        <w:rPr>
          <w:highlight w:val="none"/>
        </w:rPr>
        <w:t>分。</w:t>
      </w:r>
    </w:p>
    <w:p>
      <w:pPr>
        <w:ind w:firstLine="640"/>
      </w:pPr>
      <w:r>
        <w:rPr>
          <w:rFonts w:hint="eastAsia"/>
        </w:rPr>
        <w:t>（3）时效指标</w:t>
      </w:r>
    </w:p>
    <w:p>
      <w:pPr>
        <w:ind w:firstLine="640"/>
        <w:rPr>
          <w:rFonts w:hint="eastAsia"/>
          <w:highlight w:val="none"/>
          <w:lang w:eastAsia="zh-CN"/>
        </w:rPr>
      </w:pPr>
      <w:r>
        <w:rPr>
          <w:rFonts w:hint="eastAsia"/>
          <w:highlight w:val="none"/>
        </w:rPr>
        <w:t>“时效指标”下设</w:t>
      </w:r>
      <w:r>
        <w:rPr>
          <w:rFonts w:hint="eastAsia"/>
          <w:highlight w:val="none"/>
          <w:lang w:eastAsia="zh-CN"/>
        </w:rPr>
        <w:t>一</w:t>
      </w:r>
      <w:r>
        <w:rPr>
          <w:rFonts w:hint="eastAsia"/>
          <w:highlight w:val="none"/>
        </w:rPr>
        <w:t>个三级指标“资金拨付及时率”根据指标要求，</w:t>
      </w:r>
      <w:r>
        <w:rPr>
          <w:rFonts w:hint="eastAsia"/>
          <w:highlight w:val="none"/>
          <w:lang w:eastAsia="zh-CN"/>
        </w:rPr>
        <w:t>该</w:t>
      </w:r>
      <w:r>
        <w:rPr>
          <w:rFonts w:hint="eastAsia"/>
          <w:highlight w:val="none"/>
        </w:rPr>
        <w:t>项目</w:t>
      </w:r>
      <w:bookmarkStart w:id="49" w:name="_Hlk79160389"/>
      <w:r>
        <w:rPr>
          <w:rFonts w:hint="eastAsia"/>
          <w:highlight w:val="none"/>
          <w:lang w:val="en-US" w:eastAsia="zh-CN"/>
        </w:rPr>
        <w:t>资金拨付及时到位，没有影响项目的开展及实施。</w:t>
      </w:r>
      <w:r>
        <w:rPr>
          <w:rFonts w:hint="eastAsia"/>
          <w:highlight w:val="none"/>
          <w:lang w:eastAsia="zh-CN"/>
        </w:rPr>
        <w:t>“</w:t>
      </w:r>
      <w:r>
        <w:rPr>
          <w:rFonts w:hint="eastAsia"/>
          <w:highlight w:val="none"/>
        </w:rPr>
        <w:t>资金拨付及时率</w:t>
      </w:r>
      <w:r>
        <w:rPr>
          <w:rFonts w:hint="eastAsia"/>
          <w:highlight w:val="none"/>
          <w:lang w:eastAsia="zh-CN"/>
        </w:rPr>
        <w:t>”为</w:t>
      </w:r>
      <w:r>
        <w:rPr>
          <w:rFonts w:hint="eastAsia"/>
          <w:highlight w:val="none"/>
          <w:lang w:val="en-US" w:eastAsia="zh-CN"/>
        </w:rPr>
        <w:t>100%。</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eastAsia="zh-CN"/>
        </w:rPr>
        <w:t>。</w:t>
      </w:r>
    </w:p>
    <w:p>
      <w:pPr>
        <w:ind w:firstLine="640"/>
        <w:rPr>
          <w:rFonts w:hint="eastAsia" w:eastAsia="仿宋"/>
          <w:lang w:val="en-US" w:eastAsia="zh-CN"/>
        </w:rPr>
      </w:pPr>
      <w:r>
        <w:rPr>
          <w:rFonts w:hint="eastAsia"/>
          <w:highlight w:val="none"/>
        </w:rPr>
        <w:t>综上所述，根据评分标准，</w:t>
      </w:r>
      <w:r>
        <w:rPr>
          <w:rFonts w:hint="eastAsia"/>
          <w:highlight w:val="none"/>
          <w:lang w:eastAsia="zh-CN"/>
        </w:rPr>
        <w:t>时效指标</w:t>
      </w:r>
      <w:r>
        <w:rPr>
          <w:rFonts w:hint="eastAsia"/>
          <w:highlight w:val="none"/>
        </w:rPr>
        <w:t>实际得</w:t>
      </w:r>
      <w:r>
        <w:rPr>
          <w:rFonts w:hint="eastAsia"/>
          <w:highlight w:val="none"/>
          <w:lang w:val="en-US" w:eastAsia="zh-CN"/>
        </w:rPr>
        <w:t>5</w:t>
      </w:r>
      <w:r>
        <w:rPr>
          <w:highlight w:val="none"/>
        </w:rPr>
        <w:t>分</w:t>
      </w:r>
      <w:r>
        <w:rPr>
          <w:rFonts w:hint="eastAsia"/>
          <w:highlight w:val="none"/>
          <w:lang w:eastAsia="zh-CN"/>
        </w:rPr>
        <w:t>。</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35.2</w:t>
      </w:r>
      <w:r>
        <w:rPr>
          <w:rFonts w:hint="eastAsia"/>
          <w:highlight w:val="none"/>
        </w:rPr>
        <w:t>万元，实际支出</w:t>
      </w:r>
      <w:r>
        <w:rPr>
          <w:rFonts w:hint="eastAsia"/>
          <w:highlight w:val="none"/>
          <w:lang w:val="en-US" w:eastAsia="zh-CN"/>
        </w:rPr>
        <w:t>35.2</w:t>
      </w:r>
      <w:r>
        <w:rPr>
          <w:highlight w:val="none"/>
        </w:rPr>
        <w:t>万元</w:t>
      </w:r>
      <w:r>
        <w:rPr>
          <w:rFonts w:hint="eastAsia"/>
          <w:highlight w:val="none"/>
        </w:rPr>
        <w:t>，未超出预算批复金额，因此该项指标标准分值</w:t>
      </w:r>
      <w:r>
        <w:rPr>
          <w:rFonts w:hint="eastAsia"/>
          <w:highlight w:val="none"/>
          <w:lang w:val="en-US" w:eastAsia="zh-CN"/>
        </w:rPr>
        <w:t>5</w:t>
      </w:r>
      <w:r>
        <w:rPr>
          <w:rFonts w:hint="eastAsia"/>
          <w:highlight w:val="none"/>
        </w:rPr>
        <w:t>分，得</w:t>
      </w:r>
      <w:r>
        <w:rPr>
          <w:rFonts w:hint="eastAsia"/>
          <w:highlight w:val="none"/>
          <w:lang w:val="en-US" w:eastAsia="zh-CN"/>
        </w:rPr>
        <w:t>5</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“社会效益”下设三级指标“加强了全县团员青年的思想引导；为广大青年提供创业咨询、创业帮扶等服务；对贫困学生进行助学帮扶；带领青少年开展志愿服务活动，发挥示范带头作用，传递社会正能量”。</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“可持续影响”下设三级指标“持续开展各类思想教育活动，引导青少年健康成长”。由于思想教育需要长期引导收效缓慢</w:t>
      </w:r>
      <w:r>
        <w:rPr>
          <w:rFonts w:hint="eastAsia"/>
          <w:highlight w:val="none"/>
          <w:lang w:eastAsia="zh-CN"/>
        </w:rPr>
        <w:t>，</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12</w:t>
      </w:r>
      <w:r>
        <w:rPr>
          <w:rFonts w:hint="eastAsia"/>
          <w:highlight w:val="none"/>
        </w:rPr>
        <w:t>分。</w:t>
      </w:r>
    </w:p>
    <w:p>
      <w:pPr>
        <w:pStyle w:val="4"/>
        <w:ind w:left="0" w:leftChars="0" w:firstLine="643" w:firstLineChars="200"/>
        <w:rPr>
          <w:rFonts w:hint="eastAsia"/>
          <w:color w:val="000000" w:themeColor="text1"/>
          <w:highlight w:val="none"/>
          <w14:textFill>
            <w14:solidFill>
              <w14:schemeClr w14:val="tx1"/>
            </w14:solidFill>
          </w14:textFill>
        </w:rPr>
      </w:pPr>
      <w:bookmarkStart w:id="51" w:name="_Toc79333449"/>
      <w:r>
        <w:t>4、满意度指标分析</w:t>
      </w:r>
      <w:bookmarkEnd w:id="51"/>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受益对象</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bookmarkStart w:id="52" w:name="_Toc29830"/>
      <w:bookmarkStart w:id="53" w:name="_Toc79333450"/>
      <w:bookmarkStart w:id="54" w:name="_Toc1809"/>
      <w:r>
        <w:rPr>
          <w:rFonts w:hint="eastAsia"/>
        </w:rPr>
        <w:t>四、成果和问题</w:t>
      </w:r>
      <w:bookmarkEnd w:id="52"/>
      <w:bookmarkEnd w:id="53"/>
      <w:bookmarkEnd w:id="54"/>
    </w:p>
    <w:p>
      <w:pPr>
        <w:pStyle w:val="3"/>
      </w:pPr>
      <w:bookmarkStart w:id="55" w:name="_Toc79333451"/>
      <w:bookmarkStart w:id="56" w:name="_Toc30565"/>
      <w:r>
        <w:rPr>
          <w:rFonts w:hint="eastAsia"/>
        </w:rPr>
        <w:t>（一）项目实施的成果</w:t>
      </w:r>
      <w:bookmarkEnd w:id="55"/>
      <w:bookmarkEnd w:id="56"/>
    </w:p>
    <w:p>
      <w:pPr>
        <w:ind w:firstLine="640"/>
        <w:rPr>
          <w:highlight w:val="none"/>
        </w:rPr>
      </w:pPr>
      <w:r>
        <w:rPr>
          <w:rFonts w:hint="eastAsia"/>
          <w:highlight w:val="none"/>
          <w:lang w:eastAsia="zh-CN"/>
        </w:rPr>
        <w:t>以“凝聚爱心力量，关爱留守儿童”为宗旨，让留守儿童心灵有抚慰、困难有帮助、学习有辅导，为他们创造健康、快乐、平等、和谐、有爱的成长环境。</w:t>
      </w:r>
    </w:p>
    <w:p>
      <w:pPr>
        <w:ind w:firstLine="640"/>
        <w:rPr>
          <w:rFonts w:hint="eastAsia"/>
          <w:highlight w:val="none"/>
          <w:lang w:eastAsia="zh-CN"/>
        </w:rPr>
      </w:pPr>
      <w:r>
        <w:rPr>
          <w:rFonts w:hint="eastAsia"/>
          <w:highlight w:val="none"/>
          <w:lang w:eastAsia="zh-CN"/>
        </w:rPr>
        <w:t>大力弘扬了“奉献、友爱、互助、进步”的志愿精神，提高了团员青年思想水平、政治觉悟、道德品质、文化素养；全县广大青年用自己的勤劳、汗水和智慧，展现了当代全县青年不畏艰险、锐意进取、开拓创新的精神风貌。</w:t>
      </w:r>
    </w:p>
    <w:p>
      <w:pPr>
        <w:pStyle w:val="3"/>
      </w:pPr>
      <w:bookmarkStart w:id="57" w:name="_Toc30691"/>
      <w:bookmarkStart w:id="58" w:name="_Toc79333452"/>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6382"/>
      <w:bookmarkStart w:id="60" w:name="_Toc27227"/>
      <w:bookmarkStart w:id="61" w:name="_Toc79333453"/>
      <w:r>
        <w:rPr>
          <w:rFonts w:hint="eastAsia"/>
          <w:highlight w:val="none"/>
        </w:rPr>
        <w:t>五、建议</w:t>
      </w:r>
      <w:bookmarkEnd w:id="59"/>
      <w:bookmarkEnd w:id="60"/>
      <w:bookmarkEnd w:id="61"/>
    </w:p>
    <w:p>
      <w:pPr>
        <w:pStyle w:val="3"/>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2"/>
      </w:pPr>
      <w:bookmarkStart w:id="64" w:name="_Toc6061"/>
      <w:bookmarkStart w:id="65" w:name="_Toc79333457"/>
      <w:bookmarkStart w:id="66" w:name="_Toc665"/>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3394"/>
      <w:bookmarkStart w:id="68" w:name="_Toc61882435"/>
      <w:bookmarkStart w:id="69" w:name="_Toc75871379"/>
      <w:bookmarkStart w:id="70" w:name="_Toc62030119"/>
      <w:bookmarkStart w:id="71" w:name="_Toc79333458"/>
      <w:r>
        <w:rPr>
          <w:rFonts w:hint="eastAsia"/>
        </w:rPr>
        <w:t>七、附件</w:t>
      </w:r>
      <w:bookmarkEnd w:id="67"/>
      <w:bookmarkEnd w:id="68"/>
      <w:bookmarkEnd w:id="69"/>
      <w:bookmarkEnd w:id="70"/>
      <w:bookmarkEnd w:id="71"/>
    </w:p>
    <w:p>
      <w:pPr>
        <w:ind w:firstLine="640"/>
        <w:rPr>
          <w:rFonts w:hint="eastAsia"/>
        </w:rPr>
      </w:pPr>
      <w:r>
        <w:rPr>
          <w:rFonts w:hint="eastAsia"/>
        </w:rPr>
        <w:t>附件一：项目绩效自评表</w:t>
      </w:r>
    </w:p>
    <w:p>
      <w:pPr>
        <w:ind w:firstLine="640"/>
        <w:rPr>
          <w:rFonts w:hint="eastAsia"/>
        </w:rPr>
      </w:pPr>
    </w:p>
    <w:p>
      <w:pPr>
        <w:ind w:firstLine="640"/>
        <w:rPr>
          <w:rFonts w:hint="eastAsia"/>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color w:val="000000" w:themeColor="text1"/>
          <w:highlight w:val="none"/>
          <w14:textFill>
            <w14:solidFill>
              <w14:schemeClr w14:val="tx1"/>
            </w14:solidFill>
          </w14:textFill>
        </w:rPr>
      </w:pPr>
      <w:bookmarkStart w:id="72" w:name="_Toc62030120"/>
      <w:bookmarkStart w:id="73" w:name="_Toc9995"/>
      <w:bookmarkStart w:id="74" w:name="_Toc75871380"/>
      <w:bookmarkStart w:id="75" w:name="_Toc79333459"/>
      <w:bookmarkStart w:id="76" w:name="_Toc61882642"/>
      <w:r>
        <w:rPr>
          <w:rFonts w:hint="eastAsia"/>
          <w:color w:val="000000" w:themeColor="text1"/>
          <w:highlight w:val="none"/>
          <w14:textFill>
            <w14:solidFill>
              <w14:schemeClr w14:val="tx1"/>
            </w14:solidFill>
          </w14:textFill>
        </w:rPr>
        <w:t>附件一：项目绩效自评表</w:t>
      </w:r>
      <w:bookmarkEnd w:id="72"/>
      <w:bookmarkEnd w:id="73"/>
      <w:bookmarkEnd w:id="74"/>
      <w:bookmarkEnd w:id="75"/>
      <w:bookmarkEnd w:id="76"/>
    </w:p>
    <w:tbl>
      <w:tblPr>
        <w:tblStyle w:val="17"/>
        <w:tblW w:w="0" w:type="auto"/>
        <w:tblInd w:w="0" w:type="dxa"/>
        <w:shd w:val="clear" w:color="auto" w:fill="auto"/>
        <w:tblLayout w:type="autofit"/>
        <w:tblCellMar>
          <w:top w:w="0" w:type="dxa"/>
          <w:left w:w="0" w:type="dxa"/>
          <w:bottom w:w="0" w:type="dxa"/>
          <w:right w:w="0" w:type="dxa"/>
        </w:tblCellMar>
      </w:tblPr>
      <w:tblGrid>
        <w:gridCol w:w="519"/>
        <w:gridCol w:w="871"/>
        <w:gridCol w:w="859"/>
        <w:gridCol w:w="4248"/>
        <w:gridCol w:w="723"/>
        <w:gridCol w:w="2249"/>
        <w:gridCol w:w="219"/>
        <w:gridCol w:w="196"/>
        <w:gridCol w:w="1138"/>
        <w:gridCol w:w="1828"/>
        <w:gridCol w:w="1138"/>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共青团太康县委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tabs>
                <w:tab w:val="left" w:pos="505"/>
              </w:tabs>
              <w:bidi w:val="0"/>
              <w:jc w:val="left"/>
              <w:rPr>
                <w:rFonts w:hint="eastAsia" w:eastAsia="仿宋"/>
                <w:lang w:eastAsia="zh-CN"/>
              </w:rPr>
            </w:pPr>
            <w:r>
              <w:rPr>
                <w:rFonts w:hint="eastAsia"/>
                <w:lang w:eastAsia="zh-CN"/>
              </w:rPr>
              <w:tab/>
            </w:r>
            <w:r>
              <w:rPr>
                <w:rFonts w:hint="eastAsia"/>
                <w:lang w:eastAsia="zh-CN"/>
              </w:rPr>
              <w:t>共青团太康县委</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35.2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加强青少年思想政治教育、加强基层团组织建设、少先队建设、提高青少年环境保护意识；助力乡村振兴、服务青年就业创业、预防青少年违法犯罪、开展青年志愿服务活动、关爱留守儿童、维护青少年合法权益等</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已完成加强青少年思想政治教育、加强基层团组织建设、少先队建设、提高青少年环境保护意识；助力乡村振兴、服务青年就业创业、预防青少年违法犯罪、开展青年志愿服务活动、关爱留守儿童、维护青少年合法权益等工作；</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产出指标（50分）</w:t>
            </w: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开展青少年思政教育活动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助力乡村振兴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8场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8场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服务青年就业创业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开展青年志愿服务活动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15场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受疫情影响</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 xml:space="preserve">开展关爱留守儿童活动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 xml:space="preserve"> 维护青少年合法权益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活动参与率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活动计划完成率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eastAsia="仿宋"/>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jc w:val="both"/>
              <w:rPr>
                <w:rFonts w:hint="default" w:eastAsia="仿宋"/>
                <w:lang w:val="en-US" w:eastAsia="zh-CN"/>
              </w:rPr>
            </w:pPr>
            <w:r>
              <w:rPr>
                <w:rFonts w:hint="eastAsia"/>
                <w:lang w:val="en-US" w:eastAsia="zh-CN"/>
              </w:rPr>
              <w:t xml:space="preserve">   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≤35.2万元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35.2万元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3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经济效益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433"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1986"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社会效益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加强了全县团员青年的思想引导；为广大青年提供创业咨询、创业帮扶等服务；对贫困学生进行助学帮扶；带领青少年开展志愿服务活动；发挥示范带头作用，传递社会正能量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生态效益</w:t>
            </w:r>
          </w:p>
          <w:p>
            <w:pPr>
              <w:pStyle w:val="20"/>
              <w:bidi w:val="0"/>
              <w:rPr>
                <w:rFonts w:hint="eastAsia"/>
                <w:lang w:val="en-US" w:eastAsia="zh-CN"/>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持续开展各类思想教育活动，引导青少年健康成长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由于思想教育需要长期引导收效缓慢</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受益对象满意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bl>
    <w:p>
      <w:pPr>
        <w:tabs>
          <w:tab w:val="left" w:pos="1400"/>
        </w:tabs>
        <w:spacing w:line="20" w:lineRule="exact"/>
        <w:ind w:firstLine="640"/>
        <w:rPr>
          <w:color w:val="000000" w:themeColor="text1"/>
          <w:highlight w:val="none"/>
          <w14:textFill>
            <w14:solidFill>
              <w14:schemeClr w14:val="tx1"/>
            </w14:solidFill>
          </w14:textFill>
        </w:rPr>
      </w:pPr>
    </w:p>
    <w:p>
      <w:pPr>
        <w:tabs>
          <w:tab w:val="left" w:pos="1400"/>
        </w:tabs>
        <w:spacing w:line="20" w:lineRule="exact"/>
        <w:ind w:left="0" w:leftChars="0" w:firstLine="0" w:firstLineChars="0"/>
        <w:rPr>
          <w:rFonts w:hint="eastAsia"/>
        </w:rPr>
      </w:pPr>
    </w:p>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WQ1NWNiZWE0OTBhNjQyN2ZlYzRjYTY1MTgxMTcifQ=="/>
  </w:docVars>
  <w:rsids>
    <w:rsidRoot w:val="00172A27"/>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4CB8"/>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5400"/>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0F00"/>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1C90C42"/>
    <w:rsid w:val="03C660F1"/>
    <w:rsid w:val="03D621F1"/>
    <w:rsid w:val="042B4352"/>
    <w:rsid w:val="05047743"/>
    <w:rsid w:val="05A53190"/>
    <w:rsid w:val="06DD5138"/>
    <w:rsid w:val="076B6A38"/>
    <w:rsid w:val="076D1919"/>
    <w:rsid w:val="07D72202"/>
    <w:rsid w:val="08093D9B"/>
    <w:rsid w:val="086E0E3F"/>
    <w:rsid w:val="09034D82"/>
    <w:rsid w:val="094748D9"/>
    <w:rsid w:val="0A423F4B"/>
    <w:rsid w:val="0B7D5A6E"/>
    <w:rsid w:val="0D171277"/>
    <w:rsid w:val="0EE02FCE"/>
    <w:rsid w:val="0F521208"/>
    <w:rsid w:val="10361E5F"/>
    <w:rsid w:val="11D14067"/>
    <w:rsid w:val="12466423"/>
    <w:rsid w:val="1474204B"/>
    <w:rsid w:val="15FE2D71"/>
    <w:rsid w:val="17B5501D"/>
    <w:rsid w:val="180B28F7"/>
    <w:rsid w:val="196B4AD7"/>
    <w:rsid w:val="198A5DB3"/>
    <w:rsid w:val="1B002515"/>
    <w:rsid w:val="1B240CC8"/>
    <w:rsid w:val="1BA50EE0"/>
    <w:rsid w:val="1C325836"/>
    <w:rsid w:val="1CBF4C66"/>
    <w:rsid w:val="1D3F7960"/>
    <w:rsid w:val="1D8A6E37"/>
    <w:rsid w:val="1E721D56"/>
    <w:rsid w:val="20C926AA"/>
    <w:rsid w:val="21032E75"/>
    <w:rsid w:val="214C439D"/>
    <w:rsid w:val="243D79A8"/>
    <w:rsid w:val="2449572C"/>
    <w:rsid w:val="24C302C8"/>
    <w:rsid w:val="2636356A"/>
    <w:rsid w:val="27187A2C"/>
    <w:rsid w:val="27590177"/>
    <w:rsid w:val="28577A06"/>
    <w:rsid w:val="297E09D3"/>
    <w:rsid w:val="2A916EE4"/>
    <w:rsid w:val="2AE6784B"/>
    <w:rsid w:val="2AE845D1"/>
    <w:rsid w:val="2C684532"/>
    <w:rsid w:val="2E0621CE"/>
    <w:rsid w:val="30636389"/>
    <w:rsid w:val="30BD1EC7"/>
    <w:rsid w:val="30FD39D4"/>
    <w:rsid w:val="329F306A"/>
    <w:rsid w:val="340A4177"/>
    <w:rsid w:val="354106AE"/>
    <w:rsid w:val="358D1218"/>
    <w:rsid w:val="360509BD"/>
    <w:rsid w:val="36BE0C31"/>
    <w:rsid w:val="36D53A5D"/>
    <w:rsid w:val="37360FC5"/>
    <w:rsid w:val="390B472B"/>
    <w:rsid w:val="39854FAC"/>
    <w:rsid w:val="3B080524"/>
    <w:rsid w:val="408C5853"/>
    <w:rsid w:val="42102ED9"/>
    <w:rsid w:val="422837E1"/>
    <w:rsid w:val="42690F0D"/>
    <w:rsid w:val="441E6300"/>
    <w:rsid w:val="44210059"/>
    <w:rsid w:val="44586816"/>
    <w:rsid w:val="44F212E3"/>
    <w:rsid w:val="45451E7B"/>
    <w:rsid w:val="45B92F95"/>
    <w:rsid w:val="461F23C9"/>
    <w:rsid w:val="4AD7284E"/>
    <w:rsid w:val="4C4D5376"/>
    <w:rsid w:val="4CB155BC"/>
    <w:rsid w:val="4E992DD9"/>
    <w:rsid w:val="4EEA42AB"/>
    <w:rsid w:val="50C37060"/>
    <w:rsid w:val="517C026F"/>
    <w:rsid w:val="51EA4B66"/>
    <w:rsid w:val="52513083"/>
    <w:rsid w:val="527C3815"/>
    <w:rsid w:val="533F163E"/>
    <w:rsid w:val="55F834F4"/>
    <w:rsid w:val="56775151"/>
    <w:rsid w:val="58E701B5"/>
    <w:rsid w:val="59D15864"/>
    <w:rsid w:val="5A7B1F36"/>
    <w:rsid w:val="5B025D7F"/>
    <w:rsid w:val="5C8848A0"/>
    <w:rsid w:val="5CD42C71"/>
    <w:rsid w:val="5CE71D98"/>
    <w:rsid w:val="5D951794"/>
    <w:rsid w:val="5E5E7DE3"/>
    <w:rsid w:val="608647DC"/>
    <w:rsid w:val="60EA5459"/>
    <w:rsid w:val="611B0B6F"/>
    <w:rsid w:val="632975F0"/>
    <w:rsid w:val="63BF54E2"/>
    <w:rsid w:val="64033819"/>
    <w:rsid w:val="65091475"/>
    <w:rsid w:val="65A17FA7"/>
    <w:rsid w:val="666D63A3"/>
    <w:rsid w:val="68C6555E"/>
    <w:rsid w:val="68E77D1C"/>
    <w:rsid w:val="69312D5B"/>
    <w:rsid w:val="693F0D7B"/>
    <w:rsid w:val="6A3B26BB"/>
    <w:rsid w:val="6ABB68E5"/>
    <w:rsid w:val="6F2C298E"/>
    <w:rsid w:val="6FB546BA"/>
    <w:rsid w:val="6FD10540"/>
    <w:rsid w:val="70493BA2"/>
    <w:rsid w:val="74AD3F2D"/>
    <w:rsid w:val="75181B38"/>
    <w:rsid w:val="75BB1238"/>
    <w:rsid w:val="77514668"/>
    <w:rsid w:val="77753743"/>
    <w:rsid w:val="789E7920"/>
    <w:rsid w:val="7BAE6378"/>
    <w:rsid w:val="7BF34CA6"/>
    <w:rsid w:val="7DEB4D26"/>
    <w:rsid w:val="7FDD02C2"/>
    <w:rsid w:val="7FF2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2"/>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5"/>
    <w:unhideWhenUsed/>
    <w:qFormat/>
    <w:uiPriority w:val="9"/>
    <w:pPr>
      <w:keepNext/>
      <w:keepLines/>
      <w:ind w:firstLine="200"/>
      <w:jc w:val="left"/>
      <w:outlineLvl w:val="2"/>
    </w:pPr>
    <w:rPr>
      <w:rFonts w:ascii="宋体" w:hAnsi="宋体"/>
      <w:b/>
      <w:bCs/>
    </w:rPr>
  </w:style>
  <w:style w:type="paragraph" w:styleId="5">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3"/>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Body Text First Indent"/>
    <w:basedOn w:val="7"/>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character" w:customStyle="1" w:styleId="22">
    <w:name w:val="标题 2 字符"/>
    <w:basedOn w:val="19"/>
    <w:link w:val="3"/>
    <w:qFormat/>
    <w:uiPriority w:val="9"/>
    <w:rPr>
      <w:rFonts w:ascii="楷体" w:hAnsi="楷体" w:eastAsia="楷体" w:cstheme="majorBidi"/>
      <w:b/>
      <w:bCs/>
      <w:kern w:val="2"/>
      <w:sz w:val="32"/>
      <w:szCs w:val="32"/>
    </w:rPr>
  </w:style>
  <w:style w:type="character" w:customStyle="1" w:styleId="23">
    <w:name w:val="页脚 字符"/>
    <w:basedOn w:val="19"/>
    <w:link w:val="11"/>
    <w:qFormat/>
    <w:uiPriority w:val="99"/>
    <w:rPr>
      <w:rFonts w:eastAsia="仿宋"/>
      <w:sz w:val="28"/>
      <w:szCs w:val="28"/>
    </w:rPr>
  </w:style>
  <w:style w:type="character" w:customStyle="1" w:styleId="24">
    <w:name w:val="标题 1 字符"/>
    <w:basedOn w:val="19"/>
    <w:link w:val="2"/>
    <w:qFormat/>
    <w:uiPriority w:val="9"/>
    <w:rPr>
      <w:rFonts w:ascii="黑体" w:hAnsi="黑体" w:eastAsia="黑体"/>
      <w:b/>
      <w:bCs/>
      <w:kern w:val="44"/>
      <w:sz w:val="32"/>
      <w:szCs w:val="32"/>
    </w:rPr>
  </w:style>
  <w:style w:type="character" w:customStyle="1" w:styleId="25">
    <w:name w:val="标题 3 字符"/>
    <w:basedOn w:val="19"/>
    <w:link w:val="4"/>
    <w:qFormat/>
    <w:uiPriority w:val="9"/>
    <w:rPr>
      <w:rFonts w:ascii="宋体" w:hAnsi="宋体" w:eastAsia="仿宋"/>
      <w:b/>
      <w:bCs/>
      <w:kern w:val="2"/>
      <w:sz w:val="32"/>
      <w:szCs w:val="32"/>
    </w:rPr>
  </w:style>
  <w:style w:type="character" w:customStyle="1" w:styleId="26">
    <w:name w:val="标题 4 字符"/>
    <w:basedOn w:val="19"/>
    <w:link w:val="5"/>
    <w:semiHidden/>
    <w:qFormat/>
    <w:uiPriority w:val="9"/>
    <w:rPr>
      <w:rFonts w:asciiTheme="majorHAnsi" w:hAnsiTheme="majorHAnsi" w:eastAsiaTheme="majorEastAsia" w:cstheme="majorBidi"/>
      <w:b/>
      <w:bCs/>
      <w:kern w:val="2"/>
      <w:sz w:val="28"/>
      <w:szCs w:val="28"/>
    </w:rPr>
  </w:style>
  <w:style w:type="paragraph" w:customStyle="1" w:styleId="27">
    <w:name w:val="本模板"/>
    <w:basedOn w:val="1"/>
    <w:next w:val="1"/>
    <w:qFormat/>
    <w:uiPriority w:val="0"/>
    <w:pPr>
      <w:ind w:firstLine="0" w:firstLineChars="0"/>
      <w:jc w:val="center"/>
    </w:pPr>
  </w:style>
  <w:style w:type="paragraph" w:customStyle="1" w:styleId="28">
    <w:name w:val="由"/>
    <w:basedOn w:val="1"/>
    <w:qFormat/>
    <w:uiPriority w:val="0"/>
    <w:pPr>
      <w:ind w:firstLine="0" w:firstLineChars="0"/>
      <w:jc w:val="center"/>
    </w:pPr>
  </w:style>
  <w:style w:type="paragraph" w:customStyle="1" w:styleId="29">
    <w:name w:val="昭元绩效"/>
    <w:basedOn w:val="1"/>
    <w:qFormat/>
    <w:uiPriority w:val="0"/>
    <w:pPr>
      <w:spacing w:line="360" w:lineRule="auto"/>
      <w:ind w:firstLine="0" w:firstLineChars="0"/>
      <w:jc w:val="center"/>
    </w:pPr>
    <w:rPr>
      <w:rFonts w:eastAsia="宋体"/>
      <w:b/>
      <w:bCs/>
      <w:sz w:val="44"/>
      <w:szCs w:val="44"/>
    </w:rPr>
  </w:style>
  <w:style w:type="paragraph" w:customStyle="1" w:styleId="30">
    <w:name w:val="提供"/>
    <w:basedOn w:val="1"/>
    <w:qFormat/>
    <w:uiPriority w:val="0"/>
    <w:pPr>
      <w:ind w:firstLine="0" w:firstLineChars="0"/>
      <w:jc w:val="center"/>
    </w:pPr>
  </w:style>
  <w:style w:type="paragraph" w:customStyle="1" w:styleId="31">
    <w:name w:val="版权所有"/>
    <w:basedOn w:val="1"/>
    <w:qFormat/>
    <w:uiPriority w:val="0"/>
    <w:pPr>
      <w:ind w:firstLine="0" w:firstLineChars="0"/>
      <w:jc w:val="center"/>
    </w:pPr>
  </w:style>
  <w:style w:type="paragraph" w:customStyle="1" w:styleId="32">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14</Pages>
  <Words>4929</Words>
  <Characters>5150</Characters>
  <Lines>42</Lines>
  <Paragraphs>11</Paragraphs>
  <TotalTime>3</TotalTime>
  <ScaleCrop>false</ScaleCrop>
  <LinksUpToDate>false</LinksUpToDate>
  <CharactersWithSpaces>5190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共青团太康县委</cp:lastModifiedBy>
  <cp:lastPrinted>2022-08-22T07:58:00Z</cp:lastPrinted>
  <dcterms:modified xsi:type="dcterms:W3CDTF">2022-09-01T03:03:32Z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