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6"/>
        <w:rPr>
          <w:rFonts w:hint="default"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val="en-US" w:eastAsia="zh-CN"/>
        </w:rPr>
        <w:t>背街小巷工程建设项目</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6"/>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79333431"/>
      <w:bookmarkStart w:id="4" w:name="_Toc9575"/>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ascii="仿宋" w:hAnsi="仿宋" w:eastAsia="仿宋" w:cs="仿宋"/>
          <w:b w:val="0"/>
          <w:bCs w:val="0"/>
          <w:i w:val="0"/>
          <w:iCs w:val="0"/>
          <w:caps w:val="0"/>
          <w:color w:val="444444"/>
          <w:spacing w:val="0"/>
          <w:kern w:val="0"/>
          <w:sz w:val="32"/>
          <w:szCs w:val="32"/>
          <w:shd w:val="clear" w:fill="FFFFFF"/>
          <w:lang w:val="en-US" w:eastAsia="zh-CN" w:bidi="ar"/>
        </w:rPr>
        <w:t>2021年</w:t>
      </w:r>
      <w:r>
        <w:rPr>
          <w:rFonts w:hint="eastAsia" w:cs="仿宋"/>
          <w:b w:val="0"/>
          <w:bCs w:val="0"/>
          <w:i w:val="0"/>
          <w:iCs w:val="0"/>
          <w:caps w:val="0"/>
          <w:color w:val="444444"/>
          <w:spacing w:val="0"/>
          <w:kern w:val="0"/>
          <w:sz w:val="32"/>
          <w:szCs w:val="32"/>
          <w:shd w:val="clear" w:fill="FFFFFF"/>
          <w:lang w:val="en-US" w:eastAsia="zh-CN" w:bidi="ar"/>
        </w:rPr>
        <w:t>背</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街</w:t>
      </w:r>
      <w:r>
        <w:rPr>
          <w:rFonts w:hint="eastAsia" w:cs="仿宋"/>
          <w:b w:val="0"/>
          <w:bCs w:val="0"/>
          <w:i w:val="0"/>
          <w:iCs w:val="0"/>
          <w:caps w:val="0"/>
          <w:color w:val="444444"/>
          <w:spacing w:val="0"/>
          <w:kern w:val="0"/>
          <w:sz w:val="32"/>
          <w:szCs w:val="32"/>
          <w:shd w:val="clear" w:fill="FFFFFF"/>
          <w:lang w:val="en-US" w:eastAsia="zh-CN" w:bidi="ar"/>
        </w:rPr>
        <w:t>小</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巷升级改造工程是城关镇人民政府，在镇党委、政府的正确领导下，紧紧围绕城关镇经济建设发展整体部署，充分发挥财政职能，促进全镇经济和各项事业的发展。保障改善民生、为扩内需、保增长、促转型、推改革、惠民生、促和谐做出基础建设工程项目，志在提高居民生活、出行水平，对城关镇管辖范围内</w:t>
      </w:r>
      <w:r>
        <w:rPr>
          <w:rFonts w:hint="eastAsia" w:cs="仿宋"/>
          <w:b w:val="0"/>
          <w:bCs w:val="0"/>
          <w:i w:val="0"/>
          <w:iCs w:val="0"/>
          <w:caps w:val="0"/>
          <w:color w:val="444444"/>
          <w:spacing w:val="0"/>
          <w:kern w:val="0"/>
          <w:sz w:val="32"/>
          <w:szCs w:val="32"/>
          <w:shd w:val="clear" w:fill="FFFFFF"/>
          <w:lang w:val="en-US" w:eastAsia="zh-CN" w:bidi="ar"/>
        </w:rPr>
        <w:t>背街小巷清扫</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升级</w:t>
      </w:r>
      <w:r>
        <w:rPr>
          <w:rFonts w:hint="eastAsia"/>
          <w:sz w:val="32"/>
          <w:szCs w:val="40"/>
        </w:rPr>
        <w:t>。</w:t>
      </w:r>
    </w:p>
    <w:p>
      <w:pPr>
        <w:pStyle w:val="5"/>
        <w:ind w:firstLine="643"/>
      </w:pPr>
      <w:r>
        <w:rPr>
          <w:rFonts w:hint="eastAsia"/>
        </w:rPr>
        <w:t>2、项目实施内容</w:t>
      </w:r>
      <w:bookmarkEnd w:id="7"/>
    </w:p>
    <w:p>
      <w:pPr>
        <w:pStyle w:val="4"/>
        <w:rPr>
          <w:rFonts w:hint="default" w:ascii="仿宋" w:hAnsi="仿宋" w:eastAsia="仿宋" w:cs="仿宋"/>
          <w:b w:val="0"/>
          <w:bCs w:val="0"/>
          <w:kern w:val="2"/>
          <w:sz w:val="32"/>
          <w:szCs w:val="32"/>
          <w:highlight w:val="none"/>
          <w:lang w:val="en-US" w:eastAsia="zh-CN" w:bidi="ar-SA"/>
        </w:rPr>
      </w:pPr>
      <w:bookmarkStart w:id="8" w:name="_Toc17607"/>
      <w:bookmarkStart w:id="9" w:name="_Toc14372"/>
      <w:bookmarkStart w:id="10" w:name="_Toc79333434"/>
      <w:r>
        <w:rPr>
          <w:rFonts w:hint="eastAsia" w:ascii="仿宋" w:hAnsi="仿宋" w:eastAsia="仿宋" w:cs="仿宋"/>
          <w:b w:val="0"/>
          <w:bCs w:val="0"/>
          <w:kern w:val="2"/>
          <w:sz w:val="32"/>
          <w:szCs w:val="32"/>
          <w:highlight w:val="none"/>
          <w:lang w:val="en-US" w:eastAsia="zh-CN" w:bidi="ar-SA"/>
        </w:rPr>
        <w:t>太康县城区内城关镇辖区背街小巷环卫保洁项目，背街小巷环卫保洁项目80万平方米、垃圾中转站环卫保洁项目记11座、临时垃圾中转箱4个，垃圾装运车5辆，垃圾中转箱摆臂车1辆。包括维修保养、人工工资、水电费用、垃圾运输车、工人车辆维修、加油、各种保险费用及垃圾处理厂的垃圾处理费用。5座公共厕所的升级改造看管费用、保洁人员费用、保洁用品。广场游乐园的环卫保洁、苗木养护、垃圾清运费用等工程量清单包含的内容。</w:t>
      </w: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12288561元</w:t>
      </w:r>
      <w:r>
        <w:rPr>
          <w:rFonts w:hint="eastAsia"/>
          <w:highlight w:val="none"/>
        </w:rPr>
        <w:t>，当年实际执行万元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18098"/>
      <w:bookmarkStart w:id="14" w:name="_Toc79333436"/>
      <w:r>
        <w:rPr>
          <w:rFonts w:hint="eastAsia"/>
        </w:rPr>
        <w:t>2、项目预算执行情况</w:t>
      </w:r>
      <w:bookmarkEnd w:id="13"/>
      <w:bookmarkEnd w:id="14"/>
    </w:p>
    <w:p>
      <w:pPr>
        <w:ind w:firstLine="681"/>
        <w:textAlignment w:val="baseline"/>
        <w:rPr>
          <w:rFonts w:hint="eastAsia" w:ascii="仿宋" w:hAnsi="仿宋" w:eastAsia="仿宋" w:cs="仿宋"/>
          <w:b w:val="0"/>
          <w:bCs w:val="0"/>
          <w:i w:val="0"/>
          <w:iCs w:val="0"/>
          <w:caps w:val="0"/>
          <w:color w:val="444444"/>
          <w:spacing w:val="0"/>
          <w:kern w:val="0"/>
          <w:sz w:val="32"/>
          <w:szCs w:val="32"/>
          <w:shd w:val="clear" w:fill="FFFFFF"/>
          <w:lang w:val="en-US" w:eastAsia="zh-CN" w:bidi="ar"/>
        </w:rPr>
      </w:pPr>
      <w:r>
        <w:rPr>
          <w:rFonts w:hint="eastAsia" w:ascii="仿宋" w:hAnsi="仿宋" w:eastAsia="仿宋" w:cs="仿宋"/>
          <w:b w:val="0"/>
          <w:bCs w:val="0"/>
          <w:i w:val="0"/>
          <w:iCs w:val="0"/>
          <w:caps w:val="0"/>
          <w:color w:val="444444"/>
          <w:spacing w:val="0"/>
          <w:kern w:val="0"/>
          <w:sz w:val="32"/>
          <w:szCs w:val="32"/>
          <w:shd w:val="clear" w:fill="FFFFFF"/>
          <w:lang w:val="en-US" w:eastAsia="zh-CN" w:bidi="ar"/>
        </w:rPr>
        <w:t>2021年，城关镇</w:t>
      </w:r>
      <w:r>
        <w:rPr>
          <w:rFonts w:hint="eastAsia" w:cs="仿宋"/>
          <w:b w:val="0"/>
          <w:bCs w:val="0"/>
          <w:i w:val="0"/>
          <w:iCs w:val="0"/>
          <w:caps w:val="0"/>
          <w:color w:val="444444"/>
          <w:spacing w:val="0"/>
          <w:kern w:val="0"/>
          <w:sz w:val="32"/>
          <w:szCs w:val="32"/>
          <w:shd w:val="clear" w:fill="FFFFFF"/>
          <w:lang w:val="en-US" w:eastAsia="zh-CN" w:bidi="ar"/>
        </w:rPr>
        <w:t>背</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街小巷工程项目拨款</w:t>
      </w:r>
      <w:r>
        <w:rPr>
          <w:rFonts w:hint="eastAsia" w:cs="仿宋"/>
          <w:sz w:val="32"/>
          <w:szCs w:val="32"/>
          <w:highlight w:val="none"/>
          <w:lang w:val="en-US" w:eastAsia="zh-CN"/>
        </w:rPr>
        <w:t>12288561</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万元。已支付工程方，其主要项目完成情况是：</w:t>
      </w:r>
    </w:p>
    <w:p>
      <w:pPr>
        <w:ind w:firstLine="681"/>
        <w:textAlignment w:val="baseline"/>
        <w:rPr>
          <w:rFonts w:hint="eastAsia" w:ascii="仿宋" w:hAnsi="仿宋" w:eastAsia="仿宋" w:cs="仿宋"/>
          <w:b w:val="0"/>
          <w:bCs w:val="0"/>
          <w:i w:val="0"/>
          <w:iCs w:val="0"/>
          <w:caps w:val="0"/>
          <w:color w:val="444444"/>
          <w:spacing w:val="0"/>
          <w:kern w:val="0"/>
          <w:sz w:val="32"/>
          <w:szCs w:val="32"/>
          <w:shd w:val="clear" w:fill="FFFFFF"/>
          <w:lang w:val="en-US" w:eastAsia="zh-CN" w:bidi="ar"/>
        </w:rPr>
      </w:pPr>
      <w:r>
        <w:rPr>
          <w:rFonts w:hint="eastAsia" w:ascii="仿宋" w:hAnsi="仿宋" w:eastAsia="仿宋" w:cs="仿宋"/>
          <w:b w:val="0"/>
          <w:bCs w:val="0"/>
          <w:i w:val="0"/>
          <w:iCs w:val="0"/>
          <w:caps w:val="0"/>
          <w:color w:val="444444"/>
          <w:spacing w:val="0"/>
          <w:kern w:val="0"/>
          <w:sz w:val="32"/>
          <w:szCs w:val="32"/>
          <w:shd w:val="clear" w:fill="FFFFFF"/>
          <w:lang w:val="en-US" w:eastAsia="zh-CN" w:bidi="ar"/>
        </w:rPr>
        <w:t>1、总体工程完成度100%。</w:t>
      </w:r>
    </w:p>
    <w:p>
      <w:pPr>
        <w:ind w:firstLine="681"/>
        <w:textAlignment w:val="baseline"/>
        <w:rPr>
          <w:rFonts w:hint="eastAsia" w:ascii="仿宋" w:hAnsi="仿宋" w:eastAsia="仿宋" w:cs="仿宋"/>
          <w:b w:val="0"/>
          <w:bCs w:val="0"/>
          <w:i w:val="0"/>
          <w:iCs w:val="0"/>
          <w:caps w:val="0"/>
          <w:color w:val="444444"/>
          <w:spacing w:val="0"/>
          <w:kern w:val="0"/>
          <w:sz w:val="32"/>
          <w:szCs w:val="32"/>
          <w:shd w:val="clear" w:fill="FFFFFF"/>
          <w:lang w:val="en-US" w:eastAsia="zh-CN" w:bidi="ar"/>
        </w:rPr>
      </w:pPr>
      <w:r>
        <w:rPr>
          <w:rFonts w:hint="eastAsia" w:ascii="仿宋" w:hAnsi="仿宋" w:eastAsia="仿宋" w:cs="仿宋"/>
          <w:b w:val="0"/>
          <w:bCs w:val="0"/>
          <w:i w:val="0"/>
          <w:iCs w:val="0"/>
          <w:caps w:val="0"/>
          <w:color w:val="444444"/>
          <w:spacing w:val="0"/>
          <w:kern w:val="0"/>
          <w:sz w:val="32"/>
          <w:szCs w:val="32"/>
          <w:shd w:val="clear" w:fill="FFFFFF"/>
          <w:lang w:val="en-US" w:eastAsia="zh-CN" w:bidi="ar"/>
        </w:rPr>
        <w:t>2、在完工100%情况下，</w:t>
      </w:r>
      <w:r>
        <w:rPr>
          <w:rFonts w:hint="eastAsia" w:cs="仿宋"/>
          <w:b w:val="0"/>
          <w:bCs w:val="0"/>
          <w:i w:val="0"/>
          <w:iCs w:val="0"/>
          <w:caps w:val="0"/>
          <w:color w:val="444444"/>
          <w:spacing w:val="0"/>
          <w:kern w:val="0"/>
          <w:sz w:val="32"/>
          <w:szCs w:val="32"/>
          <w:shd w:val="clear" w:fill="FFFFFF"/>
          <w:lang w:val="en-US" w:eastAsia="zh-CN" w:bidi="ar"/>
        </w:rPr>
        <w:t>并已全部支付，共</w:t>
      </w:r>
      <w:r>
        <w:rPr>
          <w:rFonts w:hint="eastAsia" w:cs="仿宋"/>
          <w:sz w:val="32"/>
          <w:szCs w:val="32"/>
          <w:highlight w:val="none"/>
          <w:lang w:val="en-US" w:eastAsia="zh-CN"/>
        </w:rPr>
        <w:t>12288561元</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w:t>
      </w:r>
    </w:p>
    <w:p>
      <w:pPr>
        <w:ind w:firstLine="681"/>
        <w:textAlignment w:val="baseline"/>
        <w:rPr>
          <w:highlight w:val="none"/>
        </w:rPr>
      </w:pPr>
      <w:r>
        <w:rPr>
          <w:rFonts w:hint="eastAsia" w:ascii="仿宋" w:hAnsi="仿宋" w:eastAsia="仿宋" w:cs="仿宋"/>
          <w:b w:val="0"/>
          <w:bCs w:val="0"/>
          <w:i w:val="0"/>
          <w:iCs w:val="0"/>
          <w:caps w:val="0"/>
          <w:color w:val="444444"/>
          <w:spacing w:val="0"/>
          <w:kern w:val="0"/>
          <w:sz w:val="32"/>
          <w:szCs w:val="32"/>
          <w:shd w:val="clear" w:fill="FFFFFF"/>
          <w:lang w:val="en-US" w:eastAsia="zh-CN" w:bidi="ar"/>
        </w:rPr>
        <w:t>3、主要</w:t>
      </w:r>
      <w:r>
        <w:rPr>
          <w:rFonts w:hint="eastAsia" w:cs="仿宋"/>
          <w:b w:val="0"/>
          <w:bCs w:val="0"/>
          <w:i w:val="0"/>
          <w:iCs w:val="0"/>
          <w:caps w:val="0"/>
          <w:color w:val="444444"/>
          <w:spacing w:val="0"/>
          <w:kern w:val="0"/>
          <w:sz w:val="32"/>
          <w:szCs w:val="32"/>
          <w:shd w:val="clear" w:fill="FFFFFF"/>
          <w:lang w:val="en-US" w:eastAsia="zh-CN" w:bidi="ar"/>
        </w:rPr>
        <w:t>工程已</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在群众监督下全部完成验收。</w:t>
      </w:r>
    </w:p>
    <w:p>
      <w:pPr>
        <w:pStyle w:val="3"/>
      </w:pPr>
      <w:bookmarkStart w:id="15" w:name="_Toc79333437"/>
      <w:bookmarkStart w:id="16" w:name="_Toc10420"/>
      <w:bookmarkStart w:id="17" w:name="_Toc75871361"/>
      <w:bookmarkStart w:id="18" w:name="_Toc1209"/>
      <w:r>
        <w:rPr>
          <w:rFonts w:hint="eastAsia"/>
        </w:rPr>
        <w:t>二、绩效自评工作开展情况</w:t>
      </w:r>
      <w:bookmarkEnd w:id="15"/>
      <w:bookmarkEnd w:id="16"/>
      <w:bookmarkEnd w:id="17"/>
      <w:bookmarkEnd w:id="18"/>
    </w:p>
    <w:p>
      <w:pPr>
        <w:pStyle w:val="4"/>
      </w:pPr>
      <w:bookmarkStart w:id="19" w:name="_Toc75871362"/>
      <w:bookmarkStart w:id="20" w:name="_Toc2270"/>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5871363"/>
      <w:bookmarkStart w:id="23" w:name="_Toc3060"/>
      <w:bookmarkStart w:id="24" w:name="_Toc5617"/>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城关镇</w:t>
      </w:r>
      <w:r>
        <w:rPr>
          <w:rFonts w:hint="eastAsia" w:cs="仿宋"/>
          <w:b w:val="0"/>
          <w:bCs w:val="0"/>
          <w:i w:val="0"/>
          <w:iCs w:val="0"/>
          <w:caps w:val="0"/>
          <w:color w:val="444444"/>
          <w:spacing w:val="0"/>
          <w:kern w:val="0"/>
          <w:sz w:val="32"/>
          <w:szCs w:val="32"/>
          <w:shd w:val="clear" w:fill="FFFFFF"/>
          <w:lang w:val="en-US" w:eastAsia="zh-CN" w:bidi="ar"/>
        </w:rPr>
        <w:t>背</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街</w:t>
      </w:r>
      <w:r>
        <w:rPr>
          <w:rFonts w:hint="eastAsia" w:cs="仿宋"/>
          <w:b w:val="0"/>
          <w:bCs w:val="0"/>
          <w:i w:val="0"/>
          <w:iCs w:val="0"/>
          <w:caps w:val="0"/>
          <w:color w:val="444444"/>
          <w:spacing w:val="0"/>
          <w:kern w:val="0"/>
          <w:sz w:val="32"/>
          <w:szCs w:val="32"/>
          <w:shd w:val="clear" w:fill="FFFFFF"/>
          <w:lang w:val="en-US" w:eastAsia="zh-CN" w:bidi="ar"/>
        </w:rPr>
        <w:t>小</w:t>
      </w:r>
      <w:r>
        <w:rPr>
          <w:rFonts w:hint="eastAsia" w:ascii="仿宋" w:hAnsi="仿宋" w:eastAsia="仿宋" w:cs="仿宋"/>
          <w:b w:val="0"/>
          <w:bCs w:val="0"/>
          <w:i w:val="0"/>
          <w:iCs w:val="0"/>
          <w:caps w:val="0"/>
          <w:color w:val="444444"/>
          <w:spacing w:val="0"/>
          <w:kern w:val="0"/>
          <w:sz w:val="32"/>
          <w:szCs w:val="32"/>
          <w:shd w:val="clear" w:fill="FFFFFF"/>
          <w:lang w:val="en-US" w:eastAsia="zh-CN" w:bidi="ar"/>
        </w:rPr>
        <w:t>巷工程项目</w:t>
      </w:r>
      <w:r>
        <w:rPr>
          <w:rFonts w:hint="eastAsia"/>
          <w:highlight w:val="none"/>
        </w:rPr>
        <w:t>资金，评价范围为涉及该项目管理及其预算资金</w:t>
      </w:r>
      <w:r>
        <w:rPr>
          <w:rFonts w:hint="eastAsia" w:cs="仿宋"/>
          <w:sz w:val="32"/>
          <w:szCs w:val="32"/>
          <w:highlight w:val="none"/>
          <w:lang w:val="en-US" w:eastAsia="zh-CN"/>
        </w:rPr>
        <w:t>12288561</w:t>
      </w:r>
      <w:r>
        <w:rPr>
          <w:rFonts w:hint="eastAsia"/>
          <w:highlight w:val="none"/>
          <w:lang w:val="en-US" w:eastAsia="zh-CN"/>
        </w:rPr>
        <w:t>元</w:t>
      </w:r>
      <w:r>
        <w:rPr>
          <w:rFonts w:hint="eastAsia"/>
          <w:highlight w:val="none"/>
        </w:rPr>
        <w:t>的使用情况。</w:t>
      </w:r>
    </w:p>
    <w:p>
      <w:pPr>
        <w:pStyle w:val="4"/>
      </w:pPr>
      <w:bookmarkStart w:id="26" w:name="_Toc75871364"/>
      <w:bookmarkStart w:id="27" w:name="_Toc8160"/>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9578"/>
      <w:bookmarkStart w:id="31" w:name="_Toc75871365"/>
      <w:bookmarkStart w:id="32" w:name="_Toc79333441"/>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4028"/>
      <w:bookmarkStart w:id="41" w:name="_Toc25356"/>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8"/>
        <w:ind w:firstLine="643"/>
      </w:pPr>
      <w:r>
        <w:rPr>
          <w:rFonts w:hint="eastAsia"/>
        </w:rPr>
        <w:t>表3.1 绩效自评价得分表</w:t>
      </w:r>
    </w:p>
    <w:tbl>
      <w:tblPr>
        <w:tblStyle w:val="14"/>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p>
            <w:pPr>
              <w:pStyle w:val="17"/>
              <w:rPr>
                <w:rFonts w:hint="eastAsia" w:ascii="Times New Roman" w:hAnsi="Times New Roman" w:eastAsia="仿宋" w:cstheme="minorBidi"/>
                <w:kern w:val="2"/>
                <w:sz w:val="24"/>
                <w:szCs w:val="24"/>
                <w:highlight w:val="none"/>
                <w:lang w:val="en-US" w:eastAsia="zh-CN" w:bidi="ar-SA"/>
              </w:rPr>
            </w:pPr>
          </w:p>
          <w:p>
            <w:pPr>
              <w:pStyle w:val="17"/>
              <w:rPr>
                <w:rFonts w:hint="eastAsia" w:ascii="Times New Roman" w:hAnsi="Times New Roman" w:eastAsia="仿宋" w:cstheme="minorBidi"/>
                <w:kern w:val="2"/>
                <w:sz w:val="24"/>
                <w:szCs w:val="24"/>
                <w:highlight w:val="none"/>
                <w:lang w:val="en-US" w:eastAsia="zh-CN" w:bidi="ar-SA"/>
              </w:rPr>
            </w:pPr>
          </w:p>
          <w:p>
            <w:pPr>
              <w:pStyle w:val="17"/>
              <w:rPr>
                <w:rFonts w:hint="eastAsia" w:ascii="Times New Roman" w:hAnsi="Times New Roman" w:eastAsia="仿宋" w:cstheme="minorBidi"/>
                <w:kern w:val="2"/>
                <w:sz w:val="24"/>
                <w:szCs w:val="24"/>
                <w:highlight w:val="none"/>
                <w:lang w:val="en-US" w:eastAsia="zh-CN" w:bidi="ar-SA"/>
              </w:rPr>
            </w:pPr>
          </w:p>
          <w:p>
            <w:pPr>
              <w:pStyle w:val="17"/>
              <w:rPr>
                <w:rFonts w:hint="eastAsia" w:ascii="Times New Roman" w:hAnsi="Times New Roman" w:eastAsia="仿宋" w:cstheme="minorBidi"/>
                <w:kern w:val="2"/>
                <w:sz w:val="24"/>
                <w:szCs w:val="24"/>
                <w:highlight w:val="none"/>
                <w:lang w:val="en-US" w:eastAsia="zh-CN" w:bidi="ar-SA"/>
              </w:rPr>
            </w:pPr>
          </w:p>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ascii="Times New Roman" w:hAnsi="Times New Roman" w:eastAsia="仿宋" w:cstheme="minorBidi"/>
                <w:kern w:val="2"/>
                <w:sz w:val="24"/>
                <w:szCs w:val="24"/>
                <w:highlight w:val="none"/>
                <w:lang w:val="en-US" w:eastAsia="zh-CN" w:bidi="ar-SA"/>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default" w:ascii="Calibri" w:hAnsi="Calibri" w:eastAsia="仿宋" w:cs="Times New Roman"/>
                <w:kern w:val="2"/>
                <w:sz w:val="18"/>
                <w:szCs w:val="18"/>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社区居委会个数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vMerge w:val="continue"/>
            <w:tcBorders>
              <w:left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default"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背街小巷条数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480" w:firstLineChars="200"/>
              <w:jc w:val="both"/>
              <w:rPr>
                <w:rFonts w:hint="default"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背街小巷总面积</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vMerge w:val="restart"/>
            <w:tcBorders>
              <w:top w:val="single" w:color="auto" w:sz="4" w:space="0"/>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7"/>
              <w:rPr>
                <w:rFonts w:hint="default"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背街小巷清扫覆盖率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tcBorders>
              <w:top w:val="single" w:color="auto" w:sz="4" w:space="0"/>
              <w:left w:val="single" w:color="auto" w:sz="4" w:space="0"/>
              <w:right w:val="single" w:color="auto" w:sz="4" w:space="0"/>
            </w:tcBorders>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生活</w:t>
            </w:r>
            <w:r>
              <w:rPr>
                <w:rFonts w:hint="eastAsia" w:ascii="Times New Roman" w:hAnsi="Times New Roman" w:cstheme="minorBidi"/>
                <w:kern w:val="2"/>
                <w:sz w:val="24"/>
                <w:szCs w:val="24"/>
                <w:highlight w:val="none"/>
                <w:lang w:val="en-US" w:eastAsia="zh-CN" w:bidi="ar-SA"/>
              </w:rPr>
              <w:t>环境是否改善</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ascii="Times New Roman" w:hAnsi="Times New Roman" w:eastAsia="仿宋" w:cstheme="minorBidi"/>
                <w:kern w:val="2"/>
                <w:sz w:val="24"/>
                <w:szCs w:val="24"/>
                <w:highlight w:val="none"/>
                <w:lang w:val="en-US" w:eastAsia="zh-CN" w:bidi="ar-SA"/>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Times New Roman" w:hAnsi="Times New Roman" w:eastAsia="仿宋" w:cstheme="minorBidi"/>
                <w:kern w:val="2"/>
                <w:sz w:val="24"/>
                <w:szCs w:val="24"/>
                <w:highlight w:val="none"/>
                <w:lang w:val="en-US" w:eastAsia="zh-CN" w:bidi="ar-SA"/>
              </w:rPr>
            </w:pPr>
            <w:r>
              <w:rPr>
                <w:rFonts w:hint="eastAsia" w:ascii="Times New Roman" w:hAnsi="Times New Roman" w:cstheme="minorBidi"/>
                <w:kern w:val="2"/>
                <w:sz w:val="24"/>
                <w:szCs w:val="24"/>
                <w:highlight w:val="none"/>
                <w:lang w:val="en-US" w:eastAsia="zh-CN" w:bidi="ar-SA"/>
              </w:rPr>
              <w:t>是否长期改善生活环境</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满意度</w:t>
            </w:r>
          </w:p>
          <w:p>
            <w:pPr>
              <w:pStyle w:val="17"/>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99</w:t>
            </w:r>
          </w:p>
        </w:tc>
      </w:tr>
    </w:tbl>
    <w:p>
      <w:pPr>
        <w:pStyle w:val="4"/>
        <w:rPr>
          <w:highlight w:val="none"/>
        </w:rPr>
      </w:pPr>
      <w:bookmarkStart w:id="43" w:name="_Toc31442"/>
      <w:bookmarkStart w:id="44" w:name="_Toc24245"/>
      <w:bookmarkStart w:id="45" w:name="_Toc79333445"/>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cs="仿宋"/>
          <w:sz w:val="32"/>
          <w:szCs w:val="32"/>
          <w:highlight w:val="none"/>
          <w:lang w:val="en-US" w:eastAsia="zh-CN"/>
        </w:rPr>
        <w:t>12288561</w:t>
      </w:r>
      <w:r>
        <w:rPr>
          <w:rFonts w:hint="eastAsia"/>
          <w:highlight w:val="none"/>
          <w:lang w:val="en-US" w:eastAsia="zh-CN"/>
        </w:rPr>
        <w:t>元</w:t>
      </w:r>
      <w:r>
        <w:rPr>
          <w:rFonts w:hint="eastAsia"/>
          <w:highlight w:val="none"/>
        </w:rPr>
        <w:t>，全年执行数为</w:t>
      </w:r>
      <w:r>
        <w:rPr>
          <w:rFonts w:hint="eastAsia" w:cs="仿宋"/>
          <w:sz w:val="32"/>
          <w:szCs w:val="32"/>
          <w:highlight w:val="none"/>
          <w:lang w:val="en-US" w:eastAsia="zh-CN"/>
        </w:rPr>
        <w:t>12288561</w:t>
      </w:r>
      <w:r>
        <w:rPr>
          <w:rFonts w:hint="eastAsia"/>
          <w:highlight w:val="none"/>
          <w:lang w:val="en-US" w:eastAsia="zh-CN"/>
        </w:rPr>
        <w:t>元</w:t>
      </w:r>
      <w:r>
        <w:rPr>
          <w:rFonts w:hint="eastAsia"/>
          <w:highlight w:val="none"/>
        </w:rPr>
        <w:t>，预算执行率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eastAsia="zh-CN"/>
        </w:rPr>
        <w:t>：</w:t>
      </w:r>
      <w:r>
        <w:rPr>
          <w:rFonts w:hint="eastAsia"/>
          <w:highlight w:val="none"/>
          <w:lang w:val="en-US" w:eastAsia="zh-CN"/>
        </w:rPr>
        <w:t>居委会个数、背街小巷条数、背街小巷面积。背街小巷工程已将所有居委会、背街小巷</w:t>
      </w:r>
      <w:r>
        <w:rPr>
          <w:rFonts w:hint="eastAsia"/>
          <w:highlight w:val="none"/>
          <w:lang w:eastAsia="zh-CN"/>
        </w:rPr>
        <w:t>全覆盖</w:t>
      </w:r>
      <w:r>
        <w:rPr>
          <w:rFonts w:hint="eastAsia"/>
          <w:highlight w:val="none"/>
          <w:lang w:val="en-US" w:eastAsia="zh-CN"/>
        </w:rPr>
        <w:t>，完成年度目标</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w:t>
      </w:r>
      <w:r>
        <w:rPr>
          <w:rFonts w:hint="eastAsia"/>
          <w:highlight w:val="none"/>
          <w:lang w:val="en-US" w:eastAsia="zh-CN"/>
        </w:rPr>
        <w:t>三</w:t>
      </w:r>
      <w:r>
        <w:rPr>
          <w:rFonts w:hint="eastAsia"/>
          <w:highlight w:val="none"/>
        </w:rPr>
        <w:t>个三级指标“</w:t>
      </w:r>
      <w:r>
        <w:rPr>
          <w:rFonts w:hint="eastAsia"/>
          <w:highlight w:val="none"/>
          <w:lang w:val="en-US" w:eastAsia="zh-CN"/>
        </w:rPr>
        <w:t>背街小巷覆盖率</w:t>
      </w:r>
      <w:r>
        <w:rPr>
          <w:rFonts w:hint="eastAsia"/>
          <w:highlight w:val="none"/>
        </w:rPr>
        <w:t>”和“</w:t>
      </w:r>
      <w:r>
        <w:rPr>
          <w:rFonts w:hint="eastAsia"/>
          <w:highlight w:val="none"/>
          <w:lang w:val="en-US" w:eastAsia="zh-CN"/>
        </w:rPr>
        <w:t>项目</w:t>
      </w:r>
      <w:r>
        <w:rPr>
          <w:rFonts w:hint="eastAsia"/>
          <w:highlight w:val="none"/>
          <w:lang w:eastAsia="zh-CN"/>
        </w:rPr>
        <w:t>经费合规性</w:t>
      </w:r>
      <w:r>
        <w:rPr>
          <w:rFonts w:hint="eastAsia"/>
          <w:highlight w:val="none"/>
        </w:rPr>
        <w:t>”</w:t>
      </w:r>
      <w:r>
        <w:rPr>
          <w:rFonts w:hint="eastAsia"/>
          <w:highlight w:val="none"/>
          <w:lang w:eastAsia="zh-CN"/>
        </w:rPr>
        <w:t>“</w:t>
      </w:r>
      <w:r>
        <w:rPr>
          <w:rFonts w:hint="eastAsia"/>
          <w:highlight w:val="none"/>
          <w:lang w:val="en-US" w:eastAsia="zh-CN"/>
        </w:rPr>
        <w:t>经费拨付及时率</w:t>
      </w:r>
      <w:r>
        <w:rPr>
          <w:rFonts w:hint="eastAsia"/>
          <w:highlight w:val="none"/>
          <w:lang w:eastAsia="zh-CN"/>
        </w:rPr>
        <w:t>”</w:t>
      </w:r>
      <w:r>
        <w:rPr>
          <w:rFonts w:hint="eastAsia"/>
          <w:highlight w:val="none"/>
        </w:rPr>
        <w:t>。</w:t>
      </w:r>
    </w:p>
    <w:p>
      <w:pPr>
        <w:ind w:firstLine="640"/>
        <w:rPr>
          <w:highlight w:val="none"/>
        </w:rPr>
      </w:pPr>
      <w:r>
        <w:rPr>
          <w:rFonts w:hint="eastAsia"/>
          <w:highlight w:val="none"/>
        </w:rPr>
        <w:t>根据指标要求，项目验收合格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val="en-US" w:eastAsia="zh-CN"/>
        </w:rPr>
        <w:t>项目</w:t>
      </w:r>
      <w:r>
        <w:rPr>
          <w:rFonts w:hint="eastAsia"/>
          <w:highlight w:val="none"/>
          <w:lang w:eastAsia="zh-CN"/>
        </w:rPr>
        <w:t>经费合规性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分。综上所述，根据评分标准，质量指标实际得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项目经费拨付及时率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100%，</w:t>
      </w:r>
      <w:r>
        <w:rPr>
          <w:rFonts w:hint="eastAsia"/>
          <w:highlight w:val="none"/>
        </w:rPr>
        <w:t>该指标标准分值为</w:t>
      </w:r>
      <w:r>
        <w:rPr>
          <w:highlight w:val="none"/>
        </w:rPr>
        <w:t>5分，得分为</w:t>
      </w:r>
      <w:r>
        <w:rPr>
          <w:rFonts w:hint="eastAsia"/>
          <w:highlight w:val="none"/>
          <w:lang w:val="en-US" w:eastAsia="zh-CN"/>
        </w:rPr>
        <w:t>5</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w:t>
      </w:r>
      <w:r>
        <w:rPr>
          <w:rFonts w:hint="eastAsia"/>
          <w:highlight w:val="none"/>
          <w:lang w:val="en-US" w:eastAsia="zh-CN"/>
        </w:rPr>
        <w:t>两</w:t>
      </w:r>
      <w:r>
        <w:rPr>
          <w:rFonts w:hint="eastAsia"/>
          <w:highlight w:val="none"/>
        </w:rPr>
        <w:t>个</w:t>
      </w:r>
      <w:r>
        <w:rPr>
          <w:rFonts w:hint="eastAsia"/>
          <w:highlight w:val="none"/>
          <w:lang w:eastAsia="zh-CN"/>
        </w:rPr>
        <w:t>三</w:t>
      </w:r>
      <w:r>
        <w:rPr>
          <w:rFonts w:hint="eastAsia"/>
          <w:highlight w:val="none"/>
        </w:rPr>
        <w:t>级指标，分别为“</w:t>
      </w:r>
      <w:r>
        <w:rPr>
          <w:rFonts w:hint="eastAsia"/>
          <w:highlight w:val="none"/>
          <w:lang w:val="en-US" w:eastAsia="zh-CN"/>
        </w:rPr>
        <w:t>生活环境是否改善</w:t>
      </w:r>
      <w:r>
        <w:rPr>
          <w:rFonts w:hint="eastAsia"/>
          <w:highlight w:val="none"/>
        </w:rPr>
        <w:t>”、“</w:t>
      </w:r>
      <w:r>
        <w:rPr>
          <w:rFonts w:hint="eastAsia"/>
          <w:highlight w:val="none"/>
          <w:lang w:val="en-US" w:eastAsia="zh-CN"/>
        </w:rPr>
        <w:t>是否长期改善生活环境”</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rFonts w:hint="eastAsia" w:ascii="宋体" w:hAnsi="宋体" w:eastAsia="宋体" w:cs="宋体"/>
          <w:color w:val="000000"/>
          <w:kern w:val="0"/>
          <w:sz w:val="18"/>
          <w:szCs w:val="18"/>
          <w:lang w:val="en-US" w:eastAsia="zh-CN"/>
        </w:rPr>
      </w:pPr>
      <w:r>
        <w:rPr>
          <w:rFonts w:hint="eastAsia"/>
          <w:highlight w:val="none"/>
        </w:rPr>
        <w:t>“社会效益”下设</w:t>
      </w:r>
      <w:r>
        <w:rPr>
          <w:rFonts w:hint="eastAsia"/>
          <w:highlight w:val="none"/>
          <w:lang w:eastAsia="zh-CN"/>
        </w:rPr>
        <w:t>一个</w:t>
      </w:r>
      <w:r>
        <w:rPr>
          <w:rFonts w:hint="eastAsia"/>
          <w:highlight w:val="none"/>
        </w:rPr>
        <w:t>三级指标为</w:t>
      </w:r>
      <w:r>
        <w:rPr>
          <w:rFonts w:hint="eastAsia"/>
          <w:highlight w:val="none"/>
          <w:lang w:eastAsia="zh-CN"/>
        </w:rPr>
        <w:t>：</w:t>
      </w:r>
      <w:r>
        <w:rPr>
          <w:rFonts w:hint="eastAsia"/>
          <w:highlight w:val="none"/>
          <w:lang w:val="en-US" w:eastAsia="zh-CN"/>
        </w:rPr>
        <w:t>生活环境是否改善。</w:t>
      </w:r>
    </w:p>
    <w:p>
      <w:pPr>
        <w:ind w:firstLine="640"/>
        <w:rPr>
          <w:highlight w:val="none"/>
        </w:rPr>
      </w:pPr>
      <w:r>
        <w:rPr>
          <w:rFonts w:hint="eastAsia"/>
          <w:highlight w:val="none"/>
          <w:lang w:eastAsia="zh-CN"/>
        </w:rPr>
        <w:t>该项目实施后对</w:t>
      </w:r>
      <w:r>
        <w:rPr>
          <w:rFonts w:hint="eastAsia"/>
          <w:highlight w:val="none"/>
          <w:lang w:val="en-US" w:eastAsia="zh-CN"/>
        </w:rPr>
        <w:t>居住、生活环境</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val="en-US" w:eastAsia="zh-CN"/>
        </w:rPr>
        <w:t>一</w:t>
      </w:r>
      <w:bookmarkStart w:id="81" w:name="_GoBack"/>
      <w:bookmarkEnd w:id="81"/>
      <w:r>
        <w:rPr>
          <w:rFonts w:hint="eastAsia"/>
          <w:highlight w:val="none"/>
          <w:lang w:eastAsia="zh-CN"/>
        </w:rPr>
        <w:t>个</w:t>
      </w:r>
      <w:r>
        <w:rPr>
          <w:rFonts w:hint="eastAsia"/>
          <w:highlight w:val="none"/>
        </w:rPr>
        <w:t>三级指标“</w:t>
      </w:r>
      <w:r>
        <w:rPr>
          <w:rFonts w:hint="eastAsia"/>
          <w:highlight w:val="none"/>
          <w:lang w:val="en-US" w:eastAsia="zh-CN"/>
        </w:rPr>
        <w:t>是否长期改善生活环境</w:t>
      </w:r>
      <w:r>
        <w:rPr>
          <w:rFonts w:hint="eastAsia"/>
          <w:highlight w:val="none"/>
          <w:lang w:eastAsia="zh-CN"/>
        </w:rPr>
        <w:t>”</w:t>
      </w:r>
      <w:r>
        <w:rPr>
          <w:rFonts w:hint="eastAsia"/>
          <w:highlight w:val="none"/>
        </w:rPr>
        <w:t>。</w:t>
      </w:r>
    </w:p>
    <w:p>
      <w:pPr>
        <w:ind w:firstLine="640"/>
        <w:rPr>
          <w:highlight w:val="none"/>
        </w:rPr>
      </w:pPr>
      <w:r>
        <w:rPr>
          <w:rFonts w:hint="eastAsia"/>
          <w:highlight w:val="none"/>
          <w:lang w:eastAsia="zh-CN"/>
        </w:rPr>
        <w:t>本项目实施后，提高了</w:t>
      </w:r>
      <w:r>
        <w:rPr>
          <w:rFonts w:hint="eastAsia"/>
          <w:highlight w:val="none"/>
          <w:lang w:val="en-US" w:eastAsia="zh-CN"/>
        </w:rPr>
        <w:t>人民群众的生活生活环境质量</w:t>
      </w:r>
      <w:r>
        <w:rPr>
          <w:rFonts w:hint="eastAsia"/>
          <w:highlight w:val="none"/>
          <w:lang w:eastAsia="zh-CN"/>
        </w:rPr>
        <w:t>，提升了政府形象，</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val="en-US" w:eastAsia="zh-CN"/>
        </w:rPr>
        <w:t>背街小巷</w:t>
      </w:r>
      <w:r>
        <w:rPr>
          <w:rFonts w:hint="eastAsia"/>
          <w:highlight w:val="none"/>
          <w:lang w:eastAsia="zh-CN"/>
        </w:rPr>
        <w:t>项目确实提高了</w:t>
      </w:r>
      <w:r>
        <w:rPr>
          <w:rFonts w:hint="eastAsia"/>
          <w:highlight w:val="none"/>
          <w:lang w:val="en-US" w:eastAsia="zh-CN"/>
        </w:rPr>
        <w:t>居民对居住生活环境的</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79333450"/>
      <w:bookmarkStart w:id="54" w:name="_Toc2983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城关镇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维护居民的生活环境、和生活质量。</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62030119"/>
      <w:bookmarkStart w:id="73" w:name="_Toc61882435"/>
      <w:bookmarkStart w:id="74" w:name="_Toc79333458"/>
      <w:bookmarkStart w:id="75" w:name="_Toc3394"/>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75871380"/>
      <w:bookmarkStart w:id="78" w:name="_Toc8706"/>
      <w:bookmarkStart w:id="79" w:name="_Toc62030120"/>
      <w:bookmarkStart w:id="80" w:name="_Toc79333459"/>
      <w:r>
        <w:rPr>
          <w:rFonts w:hint="eastAsia"/>
        </w:rPr>
        <w:t>附件一：项目绩效自评表</w:t>
      </w:r>
      <w:bookmarkEnd w:id="76"/>
      <w:bookmarkEnd w:id="77"/>
      <w:bookmarkEnd w:id="78"/>
      <w:bookmarkEnd w:id="79"/>
      <w:bookmarkEnd w:id="80"/>
    </w:p>
    <w:tbl>
      <w:tblPr>
        <w:tblStyle w:val="14"/>
        <w:tblW w:w="142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5"/>
        <w:gridCol w:w="1176"/>
        <w:gridCol w:w="974"/>
        <w:gridCol w:w="1270"/>
        <w:gridCol w:w="1718"/>
        <w:gridCol w:w="1684"/>
        <w:gridCol w:w="304"/>
        <w:gridCol w:w="1047"/>
        <w:gridCol w:w="933"/>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填表人：宋军               联系电话：13507680369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2021年度背街小巷工程建设项目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1228.86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实现贫困村全面出列和贫困人口稳定脱贫为目标，深入实施驻村帮扶和结对帮扶</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已按计划全面完成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指标1：社区居委会个数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lang w:val="en-US"/>
              </w:rPr>
            </w:pPr>
            <w:r>
              <w:rPr>
                <w:rStyle w:val="30"/>
                <w:rFonts w:eastAsia="等线"/>
                <w:lang w:val="en-US" w:eastAsia="zh-CN" w:bidi="ar"/>
              </w:rPr>
              <w:t>≥</w:t>
            </w:r>
            <w:r>
              <w:rPr>
                <w:rFonts w:hint="eastAsia" w:ascii="宋体" w:hAnsi="宋体" w:eastAsia="宋体" w:cs="宋体"/>
                <w:i w:val="0"/>
                <w:color w:val="000000"/>
                <w:kern w:val="0"/>
                <w:sz w:val="18"/>
                <w:szCs w:val="18"/>
                <w:u w:val="none"/>
                <w:lang w:val="en-US" w:eastAsia="zh-CN" w:bidi="ar"/>
              </w:rPr>
              <w:t>22个</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22个</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指标2：背街小巷条数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≥1514条</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1514条</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指标3：背街小巷总面积</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≥799801平方米</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799801平方米</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ind w:firstLine="0" w:firstLineChars="0"/>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指标1：背街小巷清扫覆盖率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ind w:firstLine="0" w:firstLineChars="0"/>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设定值高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ind w:firstLine="0" w:firstLineChars="0"/>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r>
              <w:rPr>
                <w:rFonts w:hint="eastAsia" w:ascii="Times New Roman" w:hAnsi="Times New Roman" w:eastAsia="仿宋" w:cstheme="minorBidi"/>
                <w:kern w:val="2"/>
                <w:sz w:val="24"/>
                <w:szCs w:val="24"/>
                <w:highlight w:val="none"/>
                <w:lang w:val="en-US" w:eastAsia="zh-CN" w:bidi="ar-SA"/>
              </w:rPr>
              <w:t>经费拨付及时率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指标2：生活环境是否改善</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指标1：是否长期改善生活环境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是</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指标1：居民满意度</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92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5"/>
      </w:pPr>
    </w:p>
    <w:p>
      <w:pPr>
        <w:tabs>
          <w:tab w:val="left" w:pos="1400"/>
        </w:tabs>
        <w:spacing w:line="20" w:lineRule="exact"/>
        <w:ind w:firstLine="640"/>
      </w:pPr>
    </w:p>
    <w:p>
      <w:pPr>
        <w:pStyle w:val="2"/>
      </w:pPr>
    </w:p>
    <w:p>
      <w:pPr>
        <w:pStyle w:val="2"/>
        <w:ind w:left="0" w:leftChars="0" w:firstLine="0" w:firstLineChars="0"/>
      </w:pPr>
    </w:p>
    <w:p>
      <w:pPr>
        <w:pStyle w:val="2"/>
      </w:pPr>
    </w:p>
    <w:p>
      <w:pPr>
        <w:pStyle w:val="2"/>
      </w:pPr>
    </w:p>
    <w:p>
      <w:pPr>
        <w:pStyle w:val="2"/>
      </w:pPr>
    </w:p>
    <w:p>
      <w:pPr>
        <w:pStyle w:val="2"/>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zNDlmZWFhOWExM2YyNzY0Mzg4ZGFlNmNhM2UyOTc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59064AA"/>
    <w:rsid w:val="06895C58"/>
    <w:rsid w:val="06DD5138"/>
    <w:rsid w:val="07833FB5"/>
    <w:rsid w:val="07BF13DB"/>
    <w:rsid w:val="07D72202"/>
    <w:rsid w:val="09034D82"/>
    <w:rsid w:val="09083694"/>
    <w:rsid w:val="09A75F2A"/>
    <w:rsid w:val="09AB2202"/>
    <w:rsid w:val="0A143319"/>
    <w:rsid w:val="0B15440F"/>
    <w:rsid w:val="0EE02FCE"/>
    <w:rsid w:val="11D14067"/>
    <w:rsid w:val="14663EF5"/>
    <w:rsid w:val="15341C16"/>
    <w:rsid w:val="182E55A0"/>
    <w:rsid w:val="185A481A"/>
    <w:rsid w:val="18EA4DE7"/>
    <w:rsid w:val="193B60BE"/>
    <w:rsid w:val="1A691814"/>
    <w:rsid w:val="1B002515"/>
    <w:rsid w:val="1B6D70C3"/>
    <w:rsid w:val="1BA50EE0"/>
    <w:rsid w:val="1CBF4C66"/>
    <w:rsid w:val="1D456769"/>
    <w:rsid w:val="1E734EC5"/>
    <w:rsid w:val="1E863F28"/>
    <w:rsid w:val="21032E75"/>
    <w:rsid w:val="2296391B"/>
    <w:rsid w:val="23451980"/>
    <w:rsid w:val="241E352C"/>
    <w:rsid w:val="2449572C"/>
    <w:rsid w:val="25813BC5"/>
    <w:rsid w:val="2636356A"/>
    <w:rsid w:val="28577A06"/>
    <w:rsid w:val="29770CD1"/>
    <w:rsid w:val="299E61F9"/>
    <w:rsid w:val="29AC3D81"/>
    <w:rsid w:val="2AE845D1"/>
    <w:rsid w:val="2CAC4D42"/>
    <w:rsid w:val="2E3C1390"/>
    <w:rsid w:val="30FD39D4"/>
    <w:rsid w:val="340A4177"/>
    <w:rsid w:val="358D1218"/>
    <w:rsid w:val="360509BD"/>
    <w:rsid w:val="37360FC5"/>
    <w:rsid w:val="390B472B"/>
    <w:rsid w:val="3B080524"/>
    <w:rsid w:val="3BDB3B92"/>
    <w:rsid w:val="3C8E56D2"/>
    <w:rsid w:val="3CF31F38"/>
    <w:rsid w:val="3DB758C7"/>
    <w:rsid w:val="3E793690"/>
    <w:rsid w:val="3E7A663C"/>
    <w:rsid w:val="408C5853"/>
    <w:rsid w:val="40B05D7B"/>
    <w:rsid w:val="41894884"/>
    <w:rsid w:val="43901938"/>
    <w:rsid w:val="441E6300"/>
    <w:rsid w:val="460E67BF"/>
    <w:rsid w:val="463813C6"/>
    <w:rsid w:val="4AB0495E"/>
    <w:rsid w:val="4C352C90"/>
    <w:rsid w:val="4CB55F6E"/>
    <w:rsid w:val="4E992DD9"/>
    <w:rsid w:val="4FCC5C8D"/>
    <w:rsid w:val="503A51A4"/>
    <w:rsid w:val="50C37060"/>
    <w:rsid w:val="52321ABE"/>
    <w:rsid w:val="533F163E"/>
    <w:rsid w:val="54D658D3"/>
    <w:rsid w:val="55717B4E"/>
    <w:rsid w:val="55F834F4"/>
    <w:rsid w:val="56F53B80"/>
    <w:rsid w:val="581D390C"/>
    <w:rsid w:val="589E32AB"/>
    <w:rsid w:val="5A470DD9"/>
    <w:rsid w:val="5B0C00A8"/>
    <w:rsid w:val="5B1306B9"/>
    <w:rsid w:val="5C421C32"/>
    <w:rsid w:val="5CD13B7B"/>
    <w:rsid w:val="5CD42C71"/>
    <w:rsid w:val="5CE40D52"/>
    <w:rsid w:val="5D2446CB"/>
    <w:rsid w:val="60017C7C"/>
    <w:rsid w:val="611B0B6F"/>
    <w:rsid w:val="63BF54E2"/>
    <w:rsid w:val="65091475"/>
    <w:rsid w:val="65A17FA7"/>
    <w:rsid w:val="66447F6F"/>
    <w:rsid w:val="666D63A3"/>
    <w:rsid w:val="69312D5B"/>
    <w:rsid w:val="6ABB68E5"/>
    <w:rsid w:val="6AEB2D33"/>
    <w:rsid w:val="6B793A02"/>
    <w:rsid w:val="6C722A87"/>
    <w:rsid w:val="6F8D53FA"/>
    <w:rsid w:val="70493BA2"/>
    <w:rsid w:val="71A77B48"/>
    <w:rsid w:val="72BF6287"/>
    <w:rsid w:val="72F73081"/>
    <w:rsid w:val="73036D39"/>
    <w:rsid w:val="74AD3F2D"/>
    <w:rsid w:val="75BB1238"/>
    <w:rsid w:val="763106D8"/>
    <w:rsid w:val="77753743"/>
    <w:rsid w:val="779E5558"/>
    <w:rsid w:val="77D35DEC"/>
    <w:rsid w:val="78841823"/>
    <w:rsid w:val="789E7920"/>
    <w:rsid w:val="7AE729F0"/>
    <w:rsid w:val="7BF34CA6"/>
    <w:rsid w:val="7E5F5A19"/>
    <w:rsid w:val="7FCC1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9"/>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2"/>
    <w:unhideWhenUsed/>
    <w:qFormat/>
    <w:uiPriority w:val="9"/>
    <w:pPr>
      <w:keepNext/>
      <w:keepLines/>
      <w:ind w:firstLine="200"/>
      <w:jc w:val="left"/>
      <w:outlineLvl w:val="2"/>
    </w:pPr>
    <w:rPr>
      <w:rFonts w:ascii="宋体" w:hAnsi="宋体"/>
      <w:b/>
      <w:bCs/>
    </w:rPr>
  </w:style>
  <w:style w:type="paragraph" w:styleId="6">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4"/>
    <w:qFormat/>
    <w:uiPriority w:val="9"/>
    <w:rPr>
      <w:rFonts w:ascii="楷体" w:hAnsi="楷体" w:eastAsia="楷体" w:cstheme="majorBidi"/>
      <w:b/>
      <w:bCs/>
      <w:kern w:val="2"/>
      <w:sz w:val="32"/>
      <w:szCs w:val="32"/>
    </w:rPr>
  </w:style>
  <w:style w:type="character" w:customStyle="1" w:styleId="20">
    <w:name w:val="页脚 字符"/>
    <w:basedOn w:val="16"/>
    <w:link w:val="9"/>
    <w:qFormat/>
    <w:uiPriority w:val="99"/>
    <w:rPr>
      <w:rFonts w:eastAsia="仿宋"/>
      <w:sz w:val="28"/>
      <w:szCs w:val="28"/>
    </w:rPr>
  </w:style>
  <w:style w:type="character" w:customStyle="1" w:styleId="21">
    <w:name w:val="标题 1 字符"/>
    <w:basedOn w:val="16"/>
    <w:link w:val="3"/>
    <w:qFormat/>
    <w:uiPriority w:val="9"/>
    <w:rPr>
      <w:rFonts w:ascii="黑体" w:hAnsi="黑体" w:eastAsia="黑体"/>
      <w:b/>
      <w:bCs/>
      <w:kern w:val="44"/>
      <w:sz w:val="32"/>
      <w:szCs w:val="32"/>
    </w:rPr>
  </w:style>
  <w:style w:type="character" w:customStyle="1" w:styleId="22">
    <w:name w:val="标题 3 字符"/>
    <w:basedOn w:val="16"/>
    <w:link w:val="5"/>
    <w:qFormat/>
    <w:uiPriority w:val="9"/>
    <w:rPr>
      <w:rFonts w:ascii="宋体" w:hAnsi="宋体" w:eastAsia="仿宋"/>
      <w:b/>
      <w:bCs/>
      <w:kern w:val="2"/>
      <w:sz w:val="32"/>
      <w:szCs w:val="32"/>
    </w:rPr>
  </w:style>
  <w:style w:type="character" w:customStyle="1" w:styleId="23">
    <w:name w:val="标题 4 字符"/>
    <w:basedOn w:val="16"/>
    <w:link w:val="6"/>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 w:type="character" w:customStyle="1" w:styleId="30">
    <w:name w:val="font11"/>
    <w:basedOn w:val="16"/>
    <w:uiPriority w:val="0"/>
    <w:rPr>
      <w:rFonts w:hint="default" w:ascii="Arial" w:hAnsi="Arial" w:cs="Arial"/>
      <w:color w:val="000000"/>
      <w:sz w:val="18"/>
      <w:szCs w:val="18"/>
      <w:u w:val="none"/>
    </w:rPr>
  </w:style>
  <w:style w:type="character" w:customStyle="1" w:styleId="31">
    <w:name w:val="font2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4521</Words>
  <Characters>4816</Characters>
  <Lines>42</Lines>
  <Paragraphs>11</Paragraphs>
  <TotalTime>5</TotalTime>
  <ScaleCrop>false</ScaleCrop>
  <LinksUpToDate>false</LinksUpToDate>
  <CharactersWithSpaces>4877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2022-08-25T02:48:00Z</cp:lastPrinted>
  <dcterms:modified xsi:type="dcterms:W3CDTF">2022-09-21T09:20:52Z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