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hint="eastAsia" w:ascii="宋体" w:hAnsi="宋体" w:cs="宋体"/>
          <w:sz w:val="52"/>
          <w:szCs w:val="52"/>
          <w:lang w:eastAsia="zh-CN"/>
        </w:rPr>
      </w:pPr>
      <w:r>
        <w:rPr>
          <w:rFonts w:hint="eastAsia" w:ascii="宋体" w:hAnsi="宋体" w:cs="宋体"/>
          <w:sz w:val="52"/>
          <w:szCs w:val="52"/>
          <w:lang w:eastAsia="zh-CN"/>
        </w:rPr>
        <w:t>王集乡人民政府</w:t>
      </w:r>
    </w:p>
    <w:p>
      <w:pPr>
        <w:pStyle w:val="26"/>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秸秆禁烧经费</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6"/>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王集乡人民政府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79333431"/>
      <w:bookmarkStart w:id="4" w:name="_Toc9575"/>
      <w:bookmarkStart w:id="5" w:name="_Toc8110"/>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0" w:afterAutospacing="0" w:line="400" w:lineRule="exact"/>
        <w:ind w:left="0" w:right="0" w:firstLine="420"/>
        <w:jc w:val="both"/>
        <w:textAlignment w:val="auto"/>
        <w:outlineLvl w:val="9"/>
        <w:rPr>
          <w:rFonts w:hint="eastAsia" w:ascii="仿宋" w:hAnsi="仿宋" w:eastAsia="仿宋" w:cstheme="minorBidi"/>
          <w:kern w:val="2"/>
          <w:sz w:val="32"/>
          <w:szCs w:val="40"/>
          <w:lang w:val="en-US" w:eastAsia="zh-CN" w:bidi="ar-SA"/>
        </w:rPr>
      </w:pPr>
      <w:bookmarkStart w:id="7" w:name="_Toc79333433"/>
      <w:r>
        <w:rPr>
          <w:rFonts w:hint="eastAsia" w:ascii="仿宋" w:hAnsi="仿宋" w:eastAsia="仿宋" w:cstheme="minorBidi"/>
          <w:kern w:val="2"/>
          <w:sz w:val="32"/>
          <w:szCs w:val="40"/>
          <w:lang w:val="en-US" w:eastAsia="zh-CN" w:bidi="ar-SA"/>
        </w:rPr>
        <w:t>随着农着物单产提高，农业秸杆总量迅速提高。而直接作为生活燃料和饲料的比例大幅度减少，广大农民为赶农时，抢播种，图省事，多数地区都出现焚烧秸秆现象并且越来越严重。大量燃烧农业秸秆不仅造成了极大的环境污染问题，而且浪费了宝贵的生物资源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0" w:afterAutospacing="0" w:line="400" w:lineRule="exact"/>
        <w:ind w:left="0" w:right="0" w:firstLine="420"/>
        <w:jc w:val="both"/>
        <w:textAlignment w:val="auto"/>
        <w:outlineLvl w:val="9"/>
        <w:rPr>
          <w:rFonts w:hint="eastAsia" w:ascii="仿宋" w:hAnsi="仿宋" w:eastAsia="仿宋" w:cstheme="minorBidi"/>
          <w:kern w:val="2"/>
          <w:sz w:val="32"/>
          <w:szCs w:val="40"/>
          <w:lang w:val="en-US" w:eastAsia="zh-CN" w:bidi="ar-SA"/>
        </w:rPr>
      </w:pPr>
      <w:r>
        <w:rPr>
          <w:rFonts w:hint="eastAsia" w:ascii="仿宋" w:hAnsi="仿宋" w:eastAsia="仿宋" w:cstheme="minorBidi"/>
          <w:kern w:val="2"/>
          <w:sz w:val="32"/>
          <w:szCs w:val="40"/>
          <w:lang w:val="en-US" w:eastAsia="zh-CN" w:bidi="ar-SA"/>
        </w:rPr>
        <w:t>实行秸秆全面禁烧，认真搞好秸秆禁烧禁抛和综合利用，不仅能够改善大气环境质量，而且从根本上解决了因秸秆焚烧或乱乱放、腐烂变质而带来的环境污染，在改善村容村貌、提高空气质量、保护生态环境的同时，可以实现秸秆转化升值，增加经济收入。</w:t>
      </w:r>
    </w:p>
    <w:p>
      <w:pPr>
        <w:pStyle w:val="5"/>
        <w:ind w:firstLine="643"/>
      </w:pPr>
      <w:r>
        <w:rPr>
          <w:rFonts w:hint="eastAsia"/>
        </w:rPr>
        <w:t>2、项目实施内容</w:t>
      </w:r>
      <w:bookmarkEnd w:id="7"/>
    </w:p>
    <w:p>
      <w:pPr>
        <w:numPr>
          <w:ilvl w:val="0"/>
          <w:numId w:val="0"/>
        </w:numPr>
        <w:ind w:firstLine="320" w:firstLineChars="100"/>
        <w:rPr>
          <w:rFonts w:hint="eastAsia"/>
          <w:sz w:val="32"/>
          <w:szCs w:val="40"/>
        </w:rPr>
      </w:pPr>
      <w:bookmarkStart w:id="8" w:name="_Toc17607"/>
      <w:bookmarkStart w:id="9" w:name="_Toc79333434"/>
      <w:bookmarkStart w:id="10" w:name="_Toc14372"/>
      <w:r>
        <w:rPr>
          <w:rFonts w:hint="eastAsia" w:ascii="仿宋" w:hAnsi="仿宋" w:eastAsia="仿宋" w:cstheme="minorBidi"/>
          <w:kern w:val="2"/>
          <w:sz w:val="32"/>
          <w:szCs w:val="40"/>
          <w:lang w:val="en-US" w:eastAsia="zh-CN" w:bidi="ar-SA"/>
        </w:rPr>
        <w:t>为了保护生态环境，造福子孙后代和建设“天蓝、地绿、水净、人和”的</w:t>
      </w:r>
      <w:r>
        <w:rPr>
          <w:rFonts w:hint="eastAsia" w:cstheme="minorBidi"/>
          <w:kern w:val="2"/>
          <w:sz w:val="32"/>
          <w:szCs w:val="40"/>
          <w:lang w:val="en-US" w:eastAsia="zh-CN" w:bidi="ar-SA"/>
        </w:rPr>
        <w:t>王集乡</w:t>
      </w:r>
      <w:r>
        <w:rPr>
          <w:rFonts w:hint="eastAsia" w:ascii="仿宋" w:hAnsi="仿宋" w:eastAsia="仿宋" w:cstheme="minorBidi"/>
          <w:kern w:val="2"/>
          <w:sz w:val="32"/>
          <w:szCs w:val="40"/>
          <w:lang w:val="en-US" w:eastAsia="zh-CN" w:bidi="ar-SA"/>
        </w:rPr>
        <w:t>镇，为切实做好我镇的秸秆禁烧工作，县政府全年拨款</w:t>
      </w:r>
      <w:r>
        <w:rPr>
          <w:rFonts w:hint="eastAsia" w:cstheme="minorBidi"/>
          <w:kern w:val="2"/>
          <w:sz w:val="32"/>
          <w:szCs w:val="40"/>
          <w:lang w:val="en-US" w:eastAsia="zh-CN" w:bidi="ar-SA"/>
        </w:rPr>
        <w:t>59.37</w:t>
      </w:r>
      <w:r>
        <w:rPr>
          <w:rFonts w:hint="eastAsia" w:ascii="仿宋" w:hAnsi="仿宋" w:eastAsia="仿宋" w:cstheme="minorBidi"/>
          <w:kern w:val="2"/>
          <w:sz w:val="32"/>
          <w:szCs w:val="40"/>
          <w:lang w:val="en-US" w:eastAsia="zh-CN" w:bidi="ar-SA"/>
        </w:rPr>
        <w:t>万元用于我镇秸秆禁烧工作的宣传、秸秆回收补贴以及各乡镇区办的奖励，切实推进我镇的大气污染防治和生态环境保护工作，为建设绿色</w:t>
      </w:r>
      <w:r>
        <w:rPr>
          <w:rFonts w:hint="eastAsia" w:cstheme="minorBidi"/>
          <w:kern w:val="2"/>
          <w:sz w:val="32"/>
          <w:szCs w:val="40"/>
          <w:lang w:val="en-US" w:eastAsia="zh-CN" w:bidi="ar-SA"/>
        </w:rPr>
        <w:t>城郊乡</w:t>
      </w:r>
      <w:r>
        <w:rPr>
          <w:rFonts w:hint="eastAsia" w:ascii="仿宋" w:hAnsi="仿宋" w:eastAsia="仿宋" w:cstheme="minorBidi"/>
          <w:kern w:val="2"/>
          <w:sz w:val="32"/>
          <w:szCs w:val="40"/>
          <w:lang w:val="en-US" w:eastAsia="zh-CN" w:bidi="ar-SA"/>
        </w:rPr>
        <w:t>作出新贡献</w:t>
      </w:r>
      <w:r>
        <w:rPr>
          <w:rFonts w:hint="eastAsia"/>
          <w:sz w:val="32"/>
          <w:szCs w:val="40"/>
        </w:rPr>
        <w:t>。</w:t>
      </w:r>
    </w:p>
    <w:p>
      <w:pPr>
        <w:pStyle w:val="4"/>
        <w:rPr>
          <w:rFonts w:hint="eastAsia" w:ascii="Arial" w:hAnsi="Arial" w:eastAsia="宋体" w:cs="Arial"/>
          <w:i w:val="0"/>
          <w:iCs w:val="0"/>
          <w:caps w:val="0"/>
          <w:color w:val="404040"/>
          <w:spacing w:val="0"/>
          <w:sz w:val="27"/>
          <w:szCs w:val="27"/>
          <w:lang w:val="en-US" w:eastAsia="zh-CN"/>
        </w:rPr>
      </w:pPr>
    </w:p>
    <w:p>
      <w:pPr>
        <w:pStyle w:val="4"/>
      </w:pPr>
      <w:r>
        <w:rPr>
          <w:rFonts w:hint="eastAsia"/>
        </w:rPr>
        <w:t>（二）项目支出情况</w:t>
      </w:r>
      <w:bookmarkEnd w:id="8"/>
      <w:bookmarkEnd w:id="9"/>
      <w:bookmarkEnd w:id="10"/>
    </w:p>
    <w:p>
      <w:pPr>
        <w:pStyle w:val="5"/>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theme="minorBidi"/>
          <w:kern w:val="2"/>
          <w:sz w:val="32"/>
          <w:szCs w:val="40"/>
          <w:lang w:val="en-US" w:eastAsia="zh-CN" w:bidi="ar-SA"/>
        </w:rPr>
        <w:t>59.37</w:t>
      </w:r>
      <w:r>
        <w:rPr>
          <w:rFonts w:hint="eastAsia"/>
          <w:highlight w:val="none"/>
        </w:rPr>
        <w:t>万元，当年实际执行</w:t>
      </w:r>
      <w:r>
        <w:rPr>
          <w:rFonts w:hint="eastAsia" w:cstheme="minorBidi"/>
          <w:kern w:val="2"/>
          <w:sz w:val="32"/>
          <w:szCs w:val="40"/>
          <w:lang w:val="en-US" w:eastAsia="zh-CN" w:bidi="ar-SA"/>
        </w:rPr>
        <w:t>59.37</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本项目经费，资金已按照年初预算拨付</w:t>
      </w:r>
      <w:r>
        <w:rPr>
          <w:rFonts w:hint="eastAsia" w:cstheme="minorBidi"/>
          <w:kern w:val="2"/>
          <w:sz w:val="32"/>
          <w:szCs w:val="40"/>
          <w:lang w:val="en-US" w:eastAsia="zh-CN" w:bidi="ar-SA"/>
        </w:rPr>
        <w:t>59.37</w:t>
      </w:r>
      <w:r>
        <w:rPr>
          <w:rFonts w:hint="eastAsia"/>
          <w:highlight w:val="none"/>
          <w:lang w:val="en-US" w:eastAsia="zh-CN"/>
        </w:rPr>
        <w:t>万元，</w:t>
      </w:r>
      <w:r>
        <w:rPr>
          <w:rFonts w:hint="eastAsia"/>
          <w:highlight w:val="none"/>
        </w:rPr>
        <w:t>项目实际支出</w:t>
      </w:r>
      <w:r>
        <w:rPr>
          <w:rFonts w:hint="eastAsia" w:cstheme="minorBidi"/>
          <w:kern w:val="2"/>
          <w:sz w:val="32"/>
          <w:szCs w:val="40"/>
          <w:lang w:val="en-US" w:eastAsia="zh-CN" w:bidi="ar-SA"/>
        </w:rPr>
        <w:t>59.37</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79333437"/>
      <w:bookmarkStart w:id="16" w:name="_Toc75871361"/>
      <w:bookmarkStart w:id="17" w:name="_Toc10420"/>
      <w:bookmarkStart w:id="18" w:name="_Toc1209"/>
      <w:r>
        <w:rPr>
          <w:rFonts w:hint="eastAsia"/>
        </w:rPr>
        <w:t>二、绩效自评工作开展情况</w:t>
      </w:r>
      <w:bookmarkEnd w:id="15"/>
      <w:bookmarkEnd w:id="16"/>
      <w:bookmarkEnd w:id="17"/>
      <w:bookmarkEnd w:id="18"/>
    </w:p>
    <w:p>
      <w:pPr>
        <w:pStyle w:val="4"/>
      </w:pPr>
      <w:bookmarkStart w:id="19" w:name="_Toc75871362"/>
      <w:bookmarkStart w:id="20" w:name="_Toc2270"/>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3060"/>
      <w:bookmarkStart w:id="23" w:name="_Toc75871363"/>
      <w:bookmarkStart w:id="24" w:name="_Toc5617"/>
      <w:bookmarkStart w:id="25" w:name="_Toc79333439"/>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秸秆禁烧</w:t>
      </w:r>
      <w:r>
        <w:rPr>
          <w:rFonts w:hint="eastAsia"/>
          <w:highlight w:val="none"/>
        </w:rPr>
        <w:t>项目专项资金，评价范围为涉及该项目管理及其预算资金</w:t>
      </w:r>
      <w:r>
        <w:rPr>
          <w:rFonts w:hint="eastAsia"/>
          <w:highlight w:val="none"/>
          <w:lang w:val="en-US" w:eastAsia="zh-CN"/>
        </w:rPr>
        <w:t>7.89</w:t>
      </w:r>
      <w:r>
        <w:rPr>
          <w:rFonts w:hint="eastAsia"/>
          <w:highlight w:val="none"/>
        </w:rPr>
        <w:t>万元的使用情况。</w:t>
      </w:r>
    </w:p>
    <w:p>
      <w:pPr>
        <w:pStyle w:val="4"/>
      </w:pPr>
      <w:bookmarkStart w:id="26" w:name="_Toc79333440"/>
      <w:bookmarkStart w:id="27" w:name="_Toc8160"/>
      <w:bookmarkStart w:id="28" w:name="_Toc12774"/>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9333441"/>
      <w:bookmarkStart w:id="31" w:name="_Toc13521"/>
      <w:bookmarkStart w:id="32" w:name="_Toc9578"/>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79333442"/>
      <w:bookmarkStart w:id="36" w:name="_Toc75871366"/>
      <w:bookmarkStart w:id="37" w:name="_Toc489"/>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25356"/>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8"/>
        <w:ind w:firstLine="643"/>
      </w:pPr>
      <w:r>
        <w:rPr>
          <w:rFonts w:hint="eastAsia"/>
        </w:rPr>
        <w:t>表3.1 绩效自评价得分表</w:t>
      </w:r>
    </w:p>
    <w:tbl>
      <w:tblPr>
        <w:tblStyle w:val="14"/>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7"/>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秸秆禁烧亩数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禁烧活动宣传次数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活动参与人次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过火点</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过火面积比率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ascii="宋体" w:hAnsi="宋体" w:cs="宋体"/>
                <w:color w:val="000000"/>
                <w:kern w:val="0"/>
                <w:sz w:val="28"/>
                <w:szCs w:val="28"/>
                <w:highlight w:val="none"/>
                <w:lang w:val="en-US" w:eastAsia="zh-CN"/>
              </w:rPr>
              <w:t>秸秆禁烧经费拨付及时率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增强禁烧意识</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15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r>
              <w:rPr>
                <w:rFonts w:hint="eastAsia" w:ascii="宋体" w:hAnsi="宋体" w:eastAsia="宋体" w:cs="宋体"/>
                <w:color w:val="000000"/>
                <w:kern w:val="0"/>
                <w:sz w:val="18"/>
                <w:szCs w:val="18"/>
                <w:lang w:val="en-US" w:eastAsia="zh-CN"/>
              </w:rPr>
              <w:t>改善大气环境质量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满意度</w:t>
            </w:r>
          </w:p>
          <w:p>
            <w:pPr>
              <w:pStyle w:val="17"/>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79333445"/>
      <w:bookmarkStart w:id="45" w:name="_Toc24245"/>
      <w:r>
        <w:rPr>
          <w:rFonts w:hint="eastAsia"/>
          <w:highlight w:val="none"/>
        </w:rPr>
        <w:t>（二）自评指标分析</w:t>
      </w:r>
      <w:bookmarkEnd w:id="43"/>
      <w:bookmarkEnd w:id="44"/>
      <w:bookmarkEnd w:id="45"/>
    </w:p>
    <w:p>
      <w:pPr>
        <w:pStyle w:val="5"/>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cstheme="minorBidi"/>
          <w:kern w:val="2"/>
          <w:sz w:val="32"/>
          <w:szCs w:val="40"/>
          <w:lang w:val="en-US" w:eastAsia="zh-CN" w:bidi="ar-SA"/>
        </w:rPr>
        <w:t>59.37</w:t>
      </w:r>
      <w:r>
        <w:rPr>
          <w:rFonts w:hint="eastAsia"/>
          <w:highlight w:val="none"/>
        </w:rPr>
        <w:t>万元，全年执行数为</w:t>
      </w:r>
      <w:r>
        <w:rPr>
          <w:rFonts w:hint="eastAsia" w:cstheme="minorBidi"/>
          <w:kern w:val="2"/>
          <w:sz w:val="32"/>
          <w:szCs w:val="40"/>
          <w:lang w:val="en-US" w:eastAsia="zh-CN" w:bidi="ar-SA"/>
        </w:rPr>
        <w:t>59.37</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秸秆禁烧面积、宣传活动开展次数、活动参与人数。</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秸秆禁烧面积为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活动开展次数</w:t>
      </w:r>
      <w:r>
        <w:rPr>
          <w:rFonts w:hint="eastAsia"/>
          <w:highlight w:val="none"/>
        </w:rPr>
        <w:t>为</w:t>
      </w:r>
      <w:r>
        <w:rPr>
          <w:rFonts w:hint="eastAsia"/>
          <w:highlight w:val="none"/>
          <w:lang w:val="en-US" w:eastAsia="zh-CN"/>
        </w:rPr>
        <w:t>10</w:t>
      </w:r>
      <w:r>
        <w:rPr>
          <w:rFonts w:hint="eastAsia"/>
          <w:highlight w:val="none"/>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活动开展人次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过火点</w:t>
      </w:r>
      <w:r>
        <w:rPr>
          <w:rFonts w:hint="eastAsia"/>
          <w:highlight w:val="none"/>
        </w:rPr>
        <w:t>”和“</w:t>
      </w:r>
      <w:r>
        <w:rPr>
          <w:rFonts w:hint="eastAsia"/>
          <w:highlight w:val="none"/>
          <w:lang w:eastAsia="zh-CN"/>
        </w:rPr>
        <w:t>过火面积比率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过火点</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过火面积比率</w:t>
      </w:r>
      <w:r>
        <w:rPr>
          <w:rFonts w:hint="default" w:ascii="Arial" w:hAnsi="Arial" w:cs="Arial"/>
          <w:highlight w:val="none"/>
          <w:lang w:eastAsia="zh-CN"/>
        </w:rPr>
        <w:t>≥</w:t>
      </w:r>
      <w:r>
        <w:rPr>
          <w:rFonts w:hint="eastAsia" w:ascii="Arial" w:hAnsi="Arial" w:cs="Arial"/>
          <w:highlight w:val="none"/>
          <w:lang w:val="en-US" w:eastAsia="zh-CN"/>
        </w:rPr>
        <w:t>80%，完成了年度目标，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秸秆禁烧经费拨付及时率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三级指标分别为分别为“</w:t>
      </w:r>
      <w:r>
        <w:rPr>
          <w:rFonts w:hint="eastAsia"/>
          <w:highlight w:val="none"/>
          <w:lang w:eastAsia="zh-CN"/>
        </w:rPr>
        <w:t>增强禁烧意识</w:t>
      </w:r>
      <w:r>
        <w:rPr>
          <w:rFonts w:hint="eastAsia"/>
          <w:highlight w:val="none"/>
        </w:rPr>
        <w:t>”。</w:t>
      </w:r>
    </w:p>
    <w:p>
      <w:pPr>
        <w:ind w:firstLine="640"/>
        <w:rPr>
          <w:highlight w:val="none"/>
        </w:rPr>
      </w:pPr>
      <w:r>
        <w:rPr>
          <w:rFonts w:hint="eastAsia"/>
          <w:highlight w:val="none"/>
          <w:lang w:eastAsia="zh-CN"/>
        </w:rPr>
        <w:t>该项目实施后增强了群众的禁烧意识，</w:t>
      </w:r>
      <w:r>
        <w:rPr>
          <w:rFonts w:hint="eastAsia"/>
          <w:highlight w:val="none"/>
        </w:rPr>
        <w:t>产生</w:t>
      </w:r>
      <w:r>
        <w:rPr>
          <w:rFonts w:hint="eastAsia"/>
          <w:highlight w:val="none"/>
          <w:lang w:eastAsia="zh-CN"/>
        </w:rPr>
        <w:t>了</w:t>
      </w:r>
      <w:r>
        <w:rPr>
          <w:rFonts w:hint="eastAsia"/>
          <w:highlight w:val="none"/>
        </w:rPr>
        <w:t>社会效益，该指标标准分值</w:t>
      </w:r>
      <w:r>
        <w:rPr>
          <w:rFonts w:hint="eastAsia"/>
          <w:highlight w:val="none"/>
          <w:lang w:eastAsia="zh-CN"/>
        </w:rPr>
        <w:t>合计</w:t>
      </w:r>
      <w:r>
        <w:rPr>
          <w:rFonts w:hint="eastAsia"/>
          <w:highlight w:val="none"/>
        </w:rPr>
        <w:t>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numPr>
          <w:ilvl w:val="0"/>
          <w:numId w:val="2"/>
        </w:numPr>
        <w:ind w:firstLine="640"/>
        <w:rPr>
          <w:rFonts w:hint="eastAsia"/>
          <w:highlight w:val="none"/>
          <w:lang w:eastAsia="zh-CN"/>
        </w:rPr>
      </w:pPr>
      <w:r>
        <w:rPr>
          <w:rFonts w:hint="eastAsia"/>
          <w:highlight w:val="none"/>
          <w:lang w:eastAsia="zh-CN"/>
        </w:rPr>
        <w:t>生态效益</w:t>
      </w:r>
    </w:p>
    <w:p>
      <w:pPr>
        <w:numPr>
          <w:ilvl w:val="0"/>
          <w:numId w:val="0"/>
        </w:numPr>
        <w:ind w:firstLine="320" w:firstLineChars="100"/>
        <w:rPr>
          <w:highlight w:val="none"/>
        </w:rPr>
      </w:pPr>
      <w:r>
        <w:rPr>
          <w:rFonts w:hint="eastAsia"/>
          <w:highlight w:val="none"/>
        </w:rPr>
        <w:t>“</w:t>
      </w:r>
      <w:r>
        <w:rPr>
          <w:rFonts w:hint="eastAsia"/>
          <w:highlight w:val="none"/>
          <w:lang w:eastAsia="zh-CN"/>
        </w:rPr>
        <w:t>生态效益</w:t>
      </w:r>
      <w:r>
        <w:rPr>
          <w:rFonts w:hint="eastAsia"/>
          <w:highlight w:val="none"/>
        </w:rPr>
        <w:t>下设</w:t>
      </w:r>
      <w:r>
        <w:rPr>
          <w:rFonts w:hint="eastAsia"/>
          <w:highlight w:val="none"/>
          <w:lang w:eastAsia="zh-CN"/>
        </w:rPr>
        <w:t>一个</w:t>
      </w:r>
      <w:r>
        <w:rPr>
          <w:rFonts w:hint="eastAsia"/>
          <w:highlight w:val="none"/>
        </w:rPr>
        <w:t>三级指标“</w:t>
      </w:r>
      <w:r>
        <w:rPr>
          <w:rFonts w:hint="eastAsia"/>
          <w:highlight w:val="none"/>
          <w:lang w:eastAsia="zh-CN"/>
        </w:rPr>
        <w:t>提高环境质量增强环境保护意识</w:t>
      </w:r>
      <w:r>
        <w:rPr>
          <w:rFonts w:hint="eastAsia"/>
          <w:highlight w:val="none"/>
        </w:rPr>
        <w:t>”。</w:t>
      </w:r>
    </w:p>
    <w:p>
      <w:pPr>
        <w:ind w:firstLine="640"/>
        <w:rPr>
          <w:highlight w:val="none"/>
        </w:rPr>
      </w:pPr>
      <w:r>
        <w:rPr>
          <w:rFonts w:hint="eastAsia"/>
          <w:highlight w:val="none"/>
          <w:lang w:eastAsia="zh-CN"/>
        </w:rPr>
        <w:t>本项目实施后，提高了环境质量，</w:t>
      </w:r>
      <w:r>
        <w:rPr>
          <w:rFonts w:hint="eastAsia"/>
          <w:highlight w:val="none"/>
        </w:rPr>
        <w:t>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秸秆禁烧项目确实提高了党员群众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79333450"/>
      <w:bookmarkStart w:id="53" w:name="_Toc1809"/>
      <w:bookmarkStart w:id="54" w:name="_Toc29830"/>
      <w:r>
        <w:rPr>
          <w:rFonts w:hint="eastAsia"/>
          <w:highlight w:val="none"/>
        </w:rPr>
        <w:t>四、成果和问题</w:t>
      </w:r>
      <w:bookmarkEnd w:id="52"/>
      <w:bookmarkEnd w:id="53"/>
      <w:bookmarkEnd w:id="54"/>
    </w:p>
    <w:p>
      <w:pPr>
        <w:pStyle w:val="4"/>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79333452"/>
      <w:bookmarkStart w:id="58" w:name="_Toc30691"/>
      <w:r>
        <w:rPr>
          <w:rFonts w:hint="eastAsia" w:ascii="仿宋" w:hAnsi="仿宋" w:eastAsia="仿宋" w:cstheme="minorBidi"/>
          <w:b w:val="0"/>
          <w:bCs w:val="0"/>
          <w:kern w:val="2"/>
          <w:sz w:val="32"/>
          <w:szCs w:val="32"/>
          <w:highlight w:val="none"/>
          <w:lang w:val="en-US" w:eastAsia="zh-CN" w:bidi="ar-SA"/>
        </w:rPr>
        <w:t>2021年，王集乡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27227"/>
      <w:bookmarkStart w:id="60" w:name="_Toc79333453"/>
      <w:bookmarkStart w:id="61" w:name="_Toc6382"/>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62030119"/>
      <w:bookmarkStart w:id="72" w:name="_Toc75871379"/>
      <w:bookmarkStart w:id="73" w:name="_Toc3394"/>
      <w:bookmarkStart w:id="74" w:name="_Toc61882435"/>
      <w:bookmarkStart w:id="75" w:name="_Toc79333458"/>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pPr>
      <w:bookmarkStart w:id="76" w:name="_Toc8706"/>
      <w:bookmarkStart w:id="77" w:name="_Toc79333459"/>
      <w:bookmarkStart w:id="78" w:name="_Toc61882642"/>
      <w:bookmarkStart w:id="79" w:name="_Toc75871380"/>
      <w:bookmarkStart w:id="80" w:name="_Toc62030120"/>
      <w:r>
        <w:rPr>
          <w:rFonts w:hint="eastAsia"/>
        </w:rPr>
        <w:t>附件一：项目绩效自评表</w:t>
      </w:r>
      <w:bookmarkEnd w:id="76"/>
      <w:bookmarkEnd w:id="77"/>
      <w:bookmarkEnd w:id="78"/>
      <w:bookmarkEnd w:id="79"/>
      <w:bookmarkEnd w:id="80"/>
    </w:p>
    <w:tbl>
      <w:tblPr>
        <w:tblStyle w:val="14"/>
        <w:tblW w:w="142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1"/>
        <w:gridCol w:w="1051"/>
        <w:gridCol w:w="1051"/>
        <w:gridCol w:w="944"/>
        <w:gridCol w:w="1216"/>
        <w:gridCol w:w="943"/>
        <w:gridCol w:w="1282"/>
        <w:gridCol w:w="1732"/>
        <w:gridCol w:w="1699"/>
        <w:gridCol w:w="307"/>
        <w:gridCol w:w="1051"/>
        <w:gridCol w:w="947"/>
        <w:gridCol w:w="10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2021年秸秆禁烧工作经费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王集乡人民政府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59.37</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59.37</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59.37</w:t>
            </w: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59.37</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59.37</w:t>
            </w: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59.37</w:t>
            </w:r>
            <w:bookmarkStart w:id="81" w:name="_GoBack"/>
            <w:bookmarkEnd w:id="81"/>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全年拨款7.89万元用于我镇秸秆禁烧工作的宣传、秸秆回收补贴以及各乡镇区办的奖励，切实推进我镇的大气污染防治和生态环境保护工作，为建设绿色朱口镇作出新贡献</w:t>
            </w:r>
          </w:p>
        </w:tc>
        <w:tc>
          <w:tcPr>
            <w:tcW w:w="673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3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指标1：秸秆禁烧亩数</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30"/>
                <w:rFonts w:eastAsia="等线"/>
                <w:lang w:val="en-US" w:eastAsia="zh-CN" w:bidi="ar"/>
              </w:rPr>
              <w:t>≥</w:t>
            </w:r>
            <w:r>
              <w:rPr>
                <w:rStyle w:val="31"/>
                <w:lang w:val="en-US" w:eastAsia="zh-CN" w:bidi="ar"/>
              </w:rPr>
              <w:t>80%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指标2：禁烧活动宣传场次</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指标3：活动参与人次</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110人</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指标1：过火点</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w:t>
            </w:r>
            <w:r>
              <w:rPr>
                <w:rStyle w:val="31"/>
                <w:lang w:val="en-US" w:eastAsia="zh-CN" w:bidi="ar"/>
              </w:rPr>
              <w:t>5</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指标2：过火面积比率</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指标1：秸秆禁烧完成及时率</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指标2：增强禁烧意识</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9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指标1：改善大气环境质量</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2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2220E"/>
    <w:multiLevelType w:val="singleLevel"/>
    <w:tmpl w:val="9592220E"/>
    <w:lvl w:ilvl="0" w:tentative="0">
      <w:start w:val="2"/>
      <w:numFmt w:val="decimal"/>
      <w:suff w:val="nothing"/>
      <w:lvlText w:val="（%1）"/>
      <w:lvlJc w:val="left"/>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20667A3"/>
    <w:rsid w:val="03C660F1"/>
    <w:rsid w:val="042B4352"/>
    <w:rsid w:val="06DD5138"/>
    <w:rsid w:val="07D72202"/>
    <w:rsid w:val="09034D82"/>
    <w:rsid w:val="09083694"/>
    <w:rsid w:val="09AB2202"/>
    <w:rsid w:val="0EE02FCE"/>
    <w:rsid w:val="11D14067"/>
    <w:rsid w:val="1B002515"/>
    <w:rsid w:val="1B6D70C3"/>
    <w:rsid w:val="1BA50EE0"/>
    <w:rsid w:val="1CBF4C66"/>
    <w:rsid w:val="1D456769"/>
    <w:rsid w:val="1E734EC5"/>
    <w:rsid w:val="21032E75"/>
    <w:rsid w:val="226C1C5F"/>
    <w:rsid w:val="240C15F6"/>
    <w:rsid w:val="2449572C"/>
    <w:rsid w:val="2636356A"/>
    <w:rsid w:val="28577A06"/>
    <w:rsid w:val="2A333D26"/>
    <w:rsid w:val="2AC74B77"/>
    <w:rsid w:val="2AE845D1"/>
    <w:rsid w:val="2E3C1390"/>
    <w:rsid w:val="30F11E2E"/>
    <w:rsid w:val="30FD39D4"/>
    <w:rsid w:val="33577F6A"/>
    <w:rsid w:val="340A4177"/>
    <w:rsid w:val="358D1218"/>
    <w:rsid w:val="360509BD"/>
    <w:rsid w:val="36CF0830"/>
    <w:rsid w:val="37360FC5"/>
    <w:rsid w:val="388B4629"/>
    <w:rsid w:val="390B472B"/>
    <w:rsid w:val="3AA4501D"/>
    <w:rsid w:val="3B080524"/>
    <w:rsid w:val="3CF31F38"/>
    <w:rsid w:val="3E793690"/>
    <w:rsid w:val="3E7A663C"/>
    <w:rsid w:val="408C5853"/>
    <w:rsid w:val="40B05D7B"/>
    <w:rsid w:val="435C6E53"/>
    <w:rsid w:val="43901938"/>
    <w:rsid w:val="441E6300"/>
    <w:rsid w:val="475D2EFB"/>
    <w:rsid w:val="477D3F5D"/>
    <w:rsid w:val="4B42151F"/>
    <w:rsid w:val="4CB55F6E"/>
    <w:rsid w:val="4D247750"/>
    <w:rsid w:val="4E992DD9"/>
    <w:rsid w:val="4EAE6EBA"/>
    <w:rsid w:val="503015F0"/>
    <w:rsid w:val="503A51A4"/>
    <w:rsid w:val="50C37060"/>
    <w:rsid w:val="52321ABE"/>
    <w:rsid w:val="533F163E"/>
    <w:rsid w:val="55717B4E"/>
    <w:rsid w:val="55F834F4"/>
    <w:rsid w:val="56F53B80"/>
    <w:rsid w:val="5C421C32"/>
    <w:rsid w:val="5CD42C71"/>
    <w:rsid w:val="611B0B6F"/>
    <w:rsid w:val="63BF54E2"/>
    <w:rsid w:val="65091475"/>
    <w:rsid w:val="65A17FA7"/>
    <w:rsid w:val="65F001DD"/>
    <w:rsid w:val="66447F6F"/>
    <w:rsid w:val="666D63A3"/>
    <w:rsid w:val="69312D5B"/>
    <w:rsid w:val="6ABB68E5"/>
    <w:rsid w:val="6AEB2D33"/>
    <w:rsid w:val="70493BA2"/>
    <w:rsid w:val="74AD3F2D"/>
    <w:rsid w:val="75BB1238"/>
    <w:rsid w:val="77753743"/>
    <w:rsid w:val="7867096C"/>
    <w:rsid w:val="78841823"/>
    <w:rsid w:val="789E7920"/>
    <w:rsid w:val="7BF34CA6"/>
    <w:rsid w:val="7C753729"/>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9"/>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2"/>
    <w:unhideWhenUsed/>
    <w:qFormat/>
    <w:uiPriority w:val="9"/>
    <w:pPr>
      <w:keepNext/>
      <w:keepLines/>
      <w:ind w:firstLine="200"/>
      <w:jc w:val="left"/>
      <w:outlineLvl w:val="2"/>
    </w:pPr>
    <w:rPr>
      <w:rFonts w:ascii="宋体" w:hAnsi="宋体"/>
      <w:b/>
      <w:bCs/>
    </w:rPr>
  </w:style>
  <w:style w:type="paragraph" w:styleId="6">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4"/>
    <w:qFormat/>
    <w:uiPriority w:val="9"/>
    <w:rPr>
      <w:rFonts w:ascii="楷体" w:hAnsi="楷体" w:eastAsia="楷体" w:cstheme="majorBidi"/>
      <w:b/>
      <w:bCs/>
      <w:kern w:val="2"/>
      <w:sz w:val="32"/>
      <w:szCs w:val="32"/>
    </w:rPr>
  </w:style>
  <w:style w:type="character" w:customStyle="1" w:styleId="20">
    <w:name w:val="页脚 字符"/>
    <w:basedOn w:val="16"/>
    <w:link w:val="9"/>
    <w:qFormat/>
    <w:uiPriority w:val="99"/>
    <w:rPr>
      <w:rFonts w:eastAsia="仿宋"/>
      <w:sz w:val="28"/>
      <w:szCs w:val="28"/>
    </w:rPr>
  </w:style>
  <w:style w:type="character" w:customStyle="1" w:styleId="21">
    <w:name w:val="标题 1 字符"/>
    <w:basedOn w:val="16"/>
    <w:link w:val="3"/>
    <w:qFormat/>
    <w:uiPriority w:val="9"/>
    <w:rPr>
      <w:rFonts w:ascii="黑体" w:hAnsi="黑体" w:eastAsia="黑体"/>
      <w:b/>
      <w:bCs/>
      <w:kern w:val="44"/>
      <w:sz w:val="32"/>
      <w:szCs w:val="32"/>
    </w:rPr>
  </w:style>
  <w:style w:type="character" w:customStyle="1" w:styleId="22">
    <w:name w:val="标题 3 字符"/>
    <w:basedOn w:val="16"/>
    <w:link w:val="5"/>
    <w:qFormat/>
    <w:uiPriority w:val="9"/>
    <w:rPr>
      <w:rFonts w:ascii="宋体" w:hAnsi="宋体" w:eastAsia="仿宋"/>
      <w:b/>
      <w:bCs/>
      <w:kern w:val="2"/>
      <w:sz w:val="32"/>
      <w:szCs w:val="32"/>
    </w:rPr>
  </w:style>
  <w:style w:type="character" w:customStyle="1" w:styleId="23">
    <w:name w:val="标题 4 字符"/>
    <w:basedOn w:val="16"/>
    <w:link w:val="6"/>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 w:type="character" w:customStyle="1" w:styleId="30">
    <w:name w:val="font31"/>
    <w:basedOn w:val="16"/>
    <w:qFormat/>
    <w:uiPriority w:val="0"/>
    <w:rPr>
      <w:rFonts w:hint="default" w:ascii="Arial" w:hAnsi="Arial" w:cs="Arial"/>
      <w:color w:val="000000"/>
      <w:sz w:val="18"/>
      <w:szCs w:val="18"/>
      <w:u w:val="none"/>
    </w:rPr>
  </w:style>
  <w:style w:type="character" w:customStyle="1" w:styleId="31">
    <w:name w:val="font41"/>
    <w:basedOn w:val="1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4537</Words>
  <Characters>4786</Characters>
  <Lines>42</Lines>
  <Paragraphs>11</Paragraphs>
  <TotalTime>0</TotalTime>
  <ScaleCrop>false</ScaleCrop>
  <LinksUpToDate>false</LinksUpToDate>
  <CharactersWithSpaces>4853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2022-08-25T03:56:00Z</cp:lastPrinted>
  <dcterms:modified xsi:type="dcterms:W3CDTF">2022-09-18T08:08:20Z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