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auto"/>
        <w:ind w:firstLine="0" w:firstLineChars="0"/>
        <w:rPr>
          <w:rFonts w:hint="eastAsia" w:ascii="仿宋" w:hAnsi="仿宋" w:eastAsia="仿宋" w:cs="仿宋"/>
          <w:b/>
          <w:bCs/>
          <w:sz w:val="48"/>
          <w:szCs w:val="48"/>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b/>
          <w:bCs/>
          <w:sz w:val="48"/>
          <w:szCs w:val="48"/>
          <w:highlight w:val="none"/>
        </w:rPr>
      </w:pPr>
      <w:r>
        <w:rPr>
          <w:rFonts w:hint="eastAsia" w:ascii="仿宋" w:hAnsi="仿宋" w:eastAsia="仿宋" w:cs="仿宋"/>
          <w:b/>
          <w:bCs/>
          <w:sz w:val="48"/>
          <w:szCs w:val="48"/>
          <w:highlight w:val="none"/>
        </w:rPr>
        <w:t>部门整体支出绩效评价自评报告</w:t>
      </w: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48"/>
          <w:szCs w:val="48"/>
          <w:highlight w:val="none"/>
        </w:rPr>
      </w:pPr>
      <w:r>
        <w:rPr>
          <w:rFonts w:hint="eastAsia" w:ascii="仿宋" w:hAnsi="仿宋" w:eastAsia="仿宋" w:cs="仿宋"/>
          <w:sz w:val="48"/>
          <w:szCs w:val="48"/>
          <w:highlight w:val="none"/>
        </w:rPr>
        <w:t>（</w:t>
      </w:r>
      <w:r>
        <w:rPr>
          <w:rFonts w:hint="eastAsia" w:ascii="仿宋" w:hAnsi="仿宋" w:eastAsia="仿宋" w:cs="仿宋"/>
          <w:sz w:val="48"/>
          <w:szCs w:val="48"/>
          <w:highlight w:val="none"/>
          <w:lang w:val="en-US" w:eastAsia="zh-CN"/>
        </w:rPr>
        <w:t>2021</w:t>
      </w:r>
      <w:r>
        <w:rPr>
          <w:rFonts w:hint="eastAsia" w:ascii="仿宋" w:hAnsi="仿宋" w:eastAsia="仿宋" w:cs="仿宋"/>
          <w:sz w:val="48"/>
          <w:szCs w:val="48"/>
          <w:highlight w:val="none"/>
        </w:rPr>
        <w:t>年度）</w:t>
      </w: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p>
    <w:p>
      <w:pPr>
        <w:pStyle w:val="3"/>
        <w:pageBreakBefore w:val="0"/>
        <w:kinsoku/>
        <w:wordWrap/>
        <w:overflowPunct/>
        <w:topLinePunct w:val="0"/>
        <w:autoSpaceDE/>
        <w:autoSpaceDN/>
        <w:bidi w:val="0"/>
        <w:spacing w:line="360" w:lineRule="auto"/>
        <w:rPr>
          <w:rFonts w:hint="eastAsia" w:ascii="仿宋" w:hAnsi="仿宋" w:eastAsia="仿宋" w:cs="仿宋"/>
          <w:sz w:val="32"/>
          <w:szCs w:val="32"/>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部门（单位）全称：</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lang w:eastAsia="zh-CN"/>
        </w:rPr>
        <w:t>太康县政协</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rPr>
        <w:t>（公章）</w:t>
      </w: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 xml:space="preserve">绩效评价基准日：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2021年12月31日</w:t>
      </w:r>
      <w:r>
        <w:rPr>
          <w:rFonts w:hint="eastAsia" w:ascii="仿宋" w:hAnsi="仿宋" w:eastAsia="仿宋" w:cs="仿宋"/>
          <w:sz w:val="32"/>
          <w:szCs w:val="32"/>
          <w:highlight w:val="none"/>
          <w:u w:val="single"/>
        </w:rPr>
        <w:t xml:space="preserve">         </w:t>
      </w: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主管部门审核意见：</w:t>
      </w:r>
      <w:bookmarkStart w:id="0" w:name="_Hlk42768429"/>
      <w:r>
        <w:rPr>
          <w:rFonts w:hint="eastAsia" w:ascii="仿宋" w:hAnsi="仿宋" w:eastAsia="仿宋" w:cs="仿宋"/>
          <w:sz w:val="32"/>
          <w:szCs w:val="32"/>
          <w:highlight w:val="none"/>
          <w:u w:val="single"/>
        </w:rPr>
        <w:t xml:space="preserve">                                 </w:t>
      </w:r>
      <w:bookmarkEnd w:id="0"/>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财政部门审核意见：</w:t>
      </w:r>
      <w:r>
        <w:rPr>
          <w:rFonts w:hint="eastAsia" w:ascii="仿宋" w:hAnsi="仿宋" w:eastAsia="仿宋" w:cs="仿宋"/>
          <w:sz w:val="32"/>
          <w:szCs w:val="32"/>
          <w:highlight w:val="none"/>
          <w:u w:val="single"/>
        </w:rPr>
        <w:t xml:space="preserve">                                 </w:t>
      </w:r>
    </w:p>
    <w:p>
      <w:pPr>
        <w:pageBreakBefore w:val="0"/>
        <w:kinsoku/>
        <w:wordWrap/>
        <w:overflowPunct/>
        <w:topLinePunct w:val="0"/>
        <w:autoSpaceDE/>
        <w:autoSpaceDN/>
        <w:bidi w:val="0"/>
        <w:spacing w:line="360" w:lineRule="auto"/>
        <w:ind w:firstLine="0" w:firstLineChars="0"/>
        <w:rPr>
          <w:rFonts w:hint="eastAsia" w:ascii="仿宋" w:hAnsi="仿宋" w:eastAsia="仿宋" w:cs="仿宋"/>
          <w:sz w:val="32"/>
          <w:szCs w:val="32"/>
          <w:highlight w:val="none"/>
        </w:rPr>
      </w:pPr>
    </w:p>
    <w:p>
      <w:pPr>
        <w:pageBreakBefore w:val="0"/>
        <w:kinsoku/>
        <w:wordWrap/>
        <w:overflowPunct/>
        <w:topLinePunct w:val="0"/>
        <w:autoSpaceDE/>
        <w:autoSpaceDN/>
        <w:bidi w:val="0"/>
        <w:spacing w:line="360" w:lineRule="auto"/>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填报日期</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2022</w:t>
      </w:r>
      <w:r>
        <w:rPr>
          <w:rFonts w:hint="eastAsia" w:ascii="仿宋" w:hAnsi="仿宋" w:eastAsia="仿宋" w:cs="仿宋"/>
          <w:sz w:val="32"/>
          <w:szCs w:val="32"/>
          <w:highlight w:val="none"/>
        </w:rPr>
        <w:t xml:space="preserve">年   </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 xml:space="preserve">月   </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日</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4"/>
        <w:pageBreakBefore w:val="0"/>
        <w:kinsoku/>
        <w:wordWrap/>
        <w:overflowPunct/>
        <w:topLinePunct w:val="0"/>
        <w:autoSpaceDE/>
        <w:autoSpaceDN/>
        <w:bidi w:val="0"/>
        <w:spacing w:line="360" w:lineRule="auto"/>
        <w:ind w:left="0" w:leftChars="0" w:right="0" w:rightChars="0" w:firstLine="0" w:firstLineChars="0"/>
        <w:jc w:val="center"/>
        <w:rPr>
          <w:rFonts w:hint="eastAsia" w:ascii="仿宋" w:hAnsi="仿宋" w:eastAsia="仿宋" w:cs="仿宋"/>
          <w:b/>
          <w:bCs/>
          <w:sz w:val="32"/>
          <w:szCs w:val="32"/>
        </w:rPr>
      </w:pPr>
      <w:bookmarkStart w:id="1" w:name="_Toc27722"/>
      <w:r>
        <w:rPr>
          <w:rFonts w:hint="eastAsia" w:ascii="仿宋" w:hAnsi="仿宋" w:eastAsia="仿宋" w:cs="仿宋"/>
          <w:b/>
          <w:bCs/>
          <w:sz w:val="32"/>
          <w:szCs w:val="32"/>
        </w:rPr>
        <w:t>目  录</w:t>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"1-2"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_Toc3240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w:t>
      </w:r>
      <w:r>
        <w:rPr>
          <w:rFonts w:hint="eastAsia" w:ascii="仿宋" w:hAnsi="仿宋" w:eastAsia="仿宋" w:cs="仿宋"/>
          <w:sz w:val="32"/>
          <w:szCs w:val="32"/>
        </w:rPr>
        <w:t>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_Toc3240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_Toc14104 </w:instrText>
      </w:r>
      <w:r>
        <w:rPr>
          <w:rFonts w:hint="eastAsia" w:ascii="仿宋" w:hAnsi="仿宋" w:eastAsia="仿宋" w:cs="仿宋"/>
          <w:sz w:val="32"/>
          <w:szCs w:val="32"/>
        </w:rPr>
        <w:fldChar w:fldCharType="separate"/>
      </w:r>
      <w:r>
        <w:rPr>
          <w:rFonts w:hint="eastAsia" w:ascii="仿宋" w:hAnsi="仿宋" w:eastAsia="仿宋" w:cs="仿宋"/>
          <w:sz w:val="32"/>
          <w:szCs w:val="32"/>
        </w:rPr>
        <w:t>（一）单位简介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_Toc14104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_Toc27471 </w:instrText>
      </w:r>
      <w:r>
        <w:rPr>
          <w:rFonts w:hint="eastAsia" w:ascii="仿宋" w:hAnsi="仿宋" w:eastAsia="仿宋" w:cs="仿宋"/>
          <w:sz w:val="32"/>
          <w:szCs w:val="32"/>
        </w:rPr>
        <w:fldChar w:fldCharType="separate"/>
      </w:r>
      <w:r>
        <w:rPr>
          <w:rFonts w:hint="eastAsia" w:ascii="仿宋" w:hAnsi="仿宋" w:eastAsia="仿宋" w:cs="仿宋"/>
          <w:sz w:val="32"/>
          <w:szCs w:val="32"/>
        </w:rPr>
        <w:t>（二）年度部门总目标及主要任务</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_Toc27471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_Toc31554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_Toc31554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_Toc12307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_Toc12307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_Toc25686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（二）工作程序</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_Toc25686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_Toc3418 </w:instrText>
      </w:r>
      <w:r>
        <w:rPr>
          <w:rFonts w:hint="eastAsia" w:ascii="仿宋" w:hAnsi="仿宋" w:eastAsia="仿宋" w:cs="仿宋"/>
          <w:sz w:val="32"/>
          <w:szCs w:val="32"/>
        </w:rPr>
        <w:fldChar w:fldCharType="separate"/>
      </w:r>
      <w:r>
        <w:rPr>
          <w:rFonts w:hint="eastAsia" w:ascii="仿宋" w:hAnsi="仿宋" w:eastAsia="仿宋" w:cs="仿宋"/>
          <w:sz w:val="32"/>
          <w:szCs w:val="32"/>
        </w:rPr>
        <w:t>三、综合评价结论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_Toc3418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_Toc18202 </w:instrText>
      </w:r>
      <w:r>
        <w:rPr>
          <w:rFonts w:hint="eastAsia" w:ascii="仿宋" w:hAnsi="仿宋" w:eastAsia="仿宋" w:cs="仿宋"/>
          <w:sz w:val="32"/>
          <w:szCs w:val="32"/>
        </w:rPr>
        <w:fldChar w:fldCharType="separate"/>
      </w:r>
      <w:r>
        <w:rPr>
          <w:rFonts w:hint="eastAsia" w:ascii="仿宋" w:hAnsi="仿宋" w:eastAsia="仿宋" w:cs="仿宋"/>
          <w:sz w:val="32"/>
          <w:szCs w:val="32"/>
        </w:rPr>
        <w:t>四、绩效目标实现情况分析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_Toc18202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_Toc10468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部门资金情况分析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_Toc10468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_Toc3607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_Toc3607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_Toc22457 </w:instrText>
      </w:r>
      <w:r>
        <w:rPr>
          <w:rFonts w:hint="eastAsia" w:ascii="仿宋" w:hAnsi="仿宋" w:eastAsia="仿宋" w:cs="仿宋"/>
          <w:sz w:val="32"/>
          <w:szCs w:val="32"/>
        </w:rPr>
        <w:fldChar w:fldCharType="separate"/>
      </w:r>
      <w:r>
        <w:rPr>
          <w:rFonts w:hint="eastAsia" w:ascii="仿宋" w:hAnsi="仿宋" w:eastAsia="仿宋" w:cs="仿宋"/>
          <w:sz w:val="32"/>
          <w:szCs w:val="32"/>
        </w:rPr>
        <w:t>五、发现的主要问题和改进措施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_Toc22457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_Toc1104 </w:instrText>
      </w:r>
      <w:r>
        <w:rPr>
          <w:rFonts w:hint="eastAsia" w:ascii="仿宋" w:hAnsi="仿宋" w:eastAsia="仿宋" w:cs="仿宋"/>
          <w:sz w:val="32"/>
          <w:szCs w:val="32"/>
        </w:rPr>
        <w:fldChar w:fldCharType="separate"/>
      </w:r>
      <w:r>
        <w:rPr>
          <w:rFonts w:hint="eastAsia" w:ascii="仿宋" w:hAnsi="仿宋" w:eastAsia="仿宋" w:cs="仿宋"/>
          <w:sz w:val="32"/>
          <w:szCs w:val="32"/>
        </w:rPr>
        <w:t>（一）发现的主要问题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_Toc1104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_Toc17027 </w:instrText>
      </w:r>
      <w:r>
        <w:rPr>
          <w:rFonts w:hint="eastAsia" w:ascii="仿宋" w:hAnsi="仿宋" w:eastAsia="仿宋" w:cs="仿宋"/>
          <w:sz w:val="32"/>
          <w:szCs w:val="32"/>
        </w:rPr>
        <w:fldChar w:fldCharType="separate"/>
      </w:r>
      <w:r>
        <w:rPr>
          <w:rFonts w:hint="eastAsia" w:ascii="仿宋" w:hAnsi="仿宋" w:eastAsia="仿宋" w:cs="仿宋"/>
          <w:sz w:val="32"/>
          <w:szCs w:val="32"/>
        </w:rPr>
        <w:t>（二）</w:t>
      </w:r>
      <w:r>
        <w:rPr>
          <w:rFonts w:hint="eastAsia" w:ascii="仿宋" w:hAnsi="仿宋" w:eastAsia="仿宋" w:cs="仿宋"/>
          <w:sz w:val="32"/>
          <w:szCs w:val="32"/>
          <w:lang w:val="zh-CN"/>
        </w:rPr>
        <w:t>下一步改进措施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_Toc17027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_Toc23218 </w:instrText>
      </w:r>
      <w:r>
        <w:rPr>
          <w:rFonts w:hint="eastAsia" w:ascii="仿宋" w:hAnsi="仿宋" w:eastAsia="仿宋" w:cs="仿宋"/>
          <w:sz w:val="32"/>
          <w:szCs w:val="32"/>
        </w:rPr>
        <w:fldChar w:fldCharType="separate"/>
      </w:r>
      <w:r>
        <w:rPr>
          <w:rFonts w:hint="eastAsia" w:ascii="仿宋" w:hAnsi="仿宋" w:eastAsia="仿宋" w:cs="仿宋"/>
          <w:sz w:val="32"/>
          <w:szCs w:val="32"/>
        </w:rPr>
        <w:t>（三）绩效自评结果应用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_Toc23218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_Toc32190 </w:instrText>
      </w:r>
      <w:r>
        <w:rPr>
          <w:rFonts w:hint="eastAsia" w:ascii="仿宋" w:hAnsi="仿宋" w:eastAsia="仿宋" w:cs="仿宋"/>
          <w:sz w:val="32"/>
          <w:szCs w:val="32"/>
        </w:rPr>
        <w:fldChar w:fldCharType="separate"/>
      </w:r>
      <w:r>
        <w:rPr>
          <w:rFonts w:hint="eastAsia" w:ascii="仿宋" w:hAnsi="仿宋" w:eastAsia="仿宋" w:cs="仿宋"/>
          <w:sz w:val="32"/>
          <w:szCs w:val="32"/>
        </w:rPr>
        <w:t>六、有关建议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_Toc32190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_Toc26117 </w:instrText>
      </w:r>
      <w:r>
        <w:rPr>
          <w:rFonts w:hint="eastAsia" w:ascii="仿宋" w:hAnsi="仿宋" w:eastAsia="仿宋" w:cs="仿宋"/>
          <w:sz w:val="32"/>
          <w:szCs w:val="32"/>
        </w:rPr>
        <w:fldChar w:fldCharType="separate"/>
      </w:r>
      <w:r>
        <w:rPr>
          <w:rFonts w:hint="eastAsia" w:ascii="仿宋" w:hAnsi="仿宋" w:eastAsia="仿宋" w:cs="仿宋"/>
          <w:sz w:val="32"/>
          <w:szCs w:val="32"/>
        </w:rPr>
        <w:t>七、其他需要说明的问题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_Toc26117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_Toc15457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（一）绩效自评工作经验</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_Toc15457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_Toc16742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_Toc16742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pageBreakBefore w:val="0"/>
        <w:tabs>
          <w:tab w:val="right" w:leader="dot" w:pos="8306"/>
        </w:tabs>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_Toc14584 </w:instrText>
      </w:r>
      <w:r>
        <w:rPr>
          <w:rFonts w:hint="eastAsia" w:ascii="仿宋" w:hAnsi="仿宋" w:eastAsia="仿宋" w:cs="仿宋"/>
          <w:sz w:val="32"/>
          <w:szCs w:val="32"/>
        </w:rPr>
        <w:fldChar w:fldCharType="separate"/>
      </w:r>
      <w:r>
        <w:rPr>
          <w:rFonts w:hint="eastAsia" w:ascii="仿宋" w:hAnsi="仿宋" w:eastAsia="仿宋" w:cs="仿宋"/>
          <w:sz w:val="32"/>
          <w:szCs w:val="32"/>
        </w:rPr>
        <w:t>附件1：</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_Toc14584 \h </w:instrText>
      </w:r>
      <w:r>
        <w:rPr>
          <w:rFonts w:hint="eastAsia" w:ascii="仿宋" w:hAnsi="仿宋" w:eastAsia="仿宋" w:cs="仿宋"/>
          <w:sz w:val="32"/>
          <w:szCs w:val="32"/>
        </w:rPr>
        <w:fldChar w:fldCharType="separate"/>
      </w:r>
      <w:r>
        <w:rPr>
          <w:rFonts w:hint="eastAsia" w:ascii="仿宋" w:hAnsi="仿宋" w:eastAsia="仿宋" w:cs="仿宋"/>
          <w:sz w:val="32"/>
          <w:szCs w:val="32"/>
        </w:rPr>
        <w:t>24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fldChar w:fldCharType="end"/>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pageBreakBefore w:val="0"/>
        <w:kinsoku/>
        <w:wordWrap/>
        <w:overflowPunct/>
        <w:topLinePunct w:val="0"/>
        <w:autoSpaceDE/>
        <w:autoSpaceDN/>
        <w:bidi w:val="0"/>
        <w:spacing w:line="360" w:lineRule="auto"/>
        <w:ind w:firstLine="1285" w:firstLineChars="400"/>
        <w:jc w:val="center"/>
        <w:rPr>
          <w:rFonts w:hint="eastAsia" w:ascii="仿宋" w:hAnsi="仿宋" w:eastAsia="仿宋" w:cs="仿宋"/>
          <w:b/>
          <w:bCs/>
          <w:sz w:val="32"/>
          <w:szCs w:val="32"/>
        </w:rPr>
      </w:pPr>
      <w:bookmarkStart w:id="2" w:name="_Toc27842"/>
      <w:bookmarkStart w:id="3" w:name="_Toc12961"/>
      <w:bookmarkStart w:id="4" w:name="_Toc23630"/>
      <w:bookmarkStart w:id="5" w:name="_Toc6550"/>
      <w:bookmarkStart w:id="6" w:name="_Toc28057"/>
      <w:r>
        <w:rPr>
          <w:rFonts w:hint="eastAsia" w:ascii="仿宋" w:hAnsi="仿宋" w:eastAsia="仿宋" w:cs="仿宋"/>
          <w:b/>
          <w:bCs/>
          <w:sz w:val="32"/>
          <w:szCs w:val="32"/>
        </w:rPr>
        <w:t>中国人民政治协商会议河南省太康县委员会</w:t>
      </w:r>
    </w:p>
    <w:p>
      <w:pPr>
        <w:pageBreakBefore w:val="0"/>
        <w:kinsoku/>
        <w:wordWrap/>
        <w:overflowPunct/>
        <w:topLinePunct w:val="0"/>
        <w:autoSpaceDE/>
        <w:autoSpaceDN/>
        <w:bidi w:val="0"/>
        <w:spacing w:line="360" w:lineRule="auto"/>
        <w:ind w:left="0" w:leftChars="0" w:right="0" w:rightChars="0" w:firstLine="0" w:firstLineChars="0"/>
        <w:jc w:val="center"/>
        <w:outlineLvl w:val="9"/>
        <w:rPr>
          <w:rFonts w:hint="eastAsia" w:ascii="仿宋" w:hAnsi="仿宋" w:eastAsia="仿宋" w:cs="仿宋"/>
          <w:sz w:val="32"/>
          <w:szCs w:val="32"/>
        </w:rPr>
      </w:pPr>
      <w:r>
        <w:rPr>
          <w:rFonts w:hint="eastAsia" w:ascii="仿宋" w:hAnsi="仿宋" w:eastAsia="仿宋" w:cs="仿宋"/>
          <w:b/>
          <w:bCs/>
          <w:sz w:val="32"/>
          <w:szCs w:val="32"/>
          <w:lang w:eastAsia="zh-CN"/>
        </w:rPr>
        <w:t>2021</w:t>
      </w:r>
      <w:r>
        <w:rPr>
          <w:rFonts w:hint="eastAsia" w:ascii="仿宋" w:hAnsi="仿宋" w:eastAsia="仿宋" w:cs="仿宋"/>
          <w:b/>
          <w:bCs/>
          <w:sz w:val="32"/>
          <w:szCs w:val="32"/>
        </w:rPr>
        <w:t>年度部门整体自评报告</w:t>
      </w:r>
      <w:bookmarkEnd w:id="2"/>
      <w:bookmarkEnd w:id="3"/>
      <w:bookmarkEnd w:id="4"/>
      <w:bookmarkEnd w:id="5"/>
      <w:bookmarkEnd w:id="6"/>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为深入贯彻落实</w:t>
      </w:r>
      <w:r>
        <w:rPr>
          <w:rFonts w:hint="eastAsia" w:ascii="仿宋" w:hAnsi="仿宋" w:eastAsia="仿宋" w:cs="仿宋"/>
          <w:sz w:val="32"/>
          <w:szCs w:val="32"/>
          <w:highlight w:val="none"/>
          <w:lang w:eastAsia="zh-CN"/>
        </w:rPr>
        <w:t>《中共河南省委 河南省人民政府关于全面实施预算绩效管理的实施意见》（豫发〔2019〕10号）</w:t>
      </w:r>
      <w:r>
        <w:rPr>
          <w:rFonts w:hint="eastAsia" w:ascii="仿宋" w:hAnsi="仿宋" w:eastAsia="仿宋" w:cs="仿宋"/>
          <w:sz w:val="32"/>
          <w:szCs w:val="32"/>
        </w:rPr>
        <w:t>有关要求，健全绩效</w:t>
      </w:r>
      <w:r>
        <w:rPr>
          <w:rFonts w:hint="eastAsia" w:ascii="仿宋" w:hAnsi="仿宋" w:eastAsia="仿宋" w:cs="仿宋"/>
          <w:sz w:val="32"/>
          <w:szCs w:val="32"/>
          <w:lang w:eastAsia="zh-CN"/>
        </w:rPr>
        <w:t>管理</w:t>
      </w:r>
      <w:r>
        <w:rPr>
          <w:rFonts w:hint="eastAsia" w:ascii="仿宋" w:hAnsi="仿宋" w:eastAsia="仿宋" w:cs="仿宋"/>
          <w:sz w:val="32"/>
          <w:szCs w:val="32"/>
        </w:rPr>
        <w:t>常态化机制，强化部门预算绩效管理主体责任，提高财政资金使用效益。按照</w:t>
      </w:r>
      <w:r>
        <w:rPr>
          <w:rFonts w:hint="eastAsia" w:ascii="仿宋" w:hAnsi="仿宋" w:eastAsia="仿宋" w:cs="仿宋"/>
          <w:sz w:val="32"/>
          <w:szCs w:val="32"/>
          <w:highlight w:val="none"/>
          <w:lang w:val="en-US" w:eastAsia="zh-CN"/>
        </w:rPr>
        <w:t>《关于开展2021年度部门整体支出绩效自评工作的通知》</w:t>
      </w:r>
      <w:r>
        <w:rPr>
          <w:rFonts w:hint="eastAsia" w:ascii="仿宋" w:hAnsi="仿宋" w:eastAsia="仿宋" w:cs="仿宋"/>
          <w:sz w:val="32"/>
          <w:szCs w:val="32"/>
          <w:highlight w:val="none"/>
        </w:rPr>
        <w:t>文件</w:t>
      </w:r>
      <w:r>
        <w:rPr>
          <w:rFonts w:hint="eastAsia" w:ascii="仿宋" w:hAnsi="仿宋" w:eastAsia="仿宋" w:cs="仿宋"/>
          <w:sz w:val="32"/>
          <w:szCs w:val="32"/>
        </w:rPr>
        <w:t>的相关要求，</w:t>
      </w:r>
      <w:r>
        <w:rPr>
          <w:rFonts w:hint="eastAsia" w:ascii="仿宋" w:hAnsi="仿宋" w:eastAsia="仿宋" w:cs="仿宋"/>
          <w:sz w:val="32"/>
          <w:szCs w:val="32"/>
          <w:lang w:eastAsia="zh-CN"/>
        </w:rPr>
        <w:t>我</w:t>
      </w:r>
      <w:r>
        <w:rPr>
          <w:rFonts w:hint="eastAsia" w:ascii="仿宋" w:hAnsi="仿宋" w:eastAsia="仿宋" w:cs="仿宋"/>
          <w:sz w:val="32"/>
          <w:szCs w:val="32"/>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rPr>
      </w:pPr>
      <w:bookmarkStart w:id="7" w:name="_Toc3240"/>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rPr>
        <w:t>基本情况</w:t>
      </w:r>
      <w:bookmarkEnd w:id="7"/>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8" w:name="_Toc14104"/>
      <w:r>
        <w:rPr>
          <w:rFonts w:hint="eastAsia" w:ascii="仿宋" w:hAnsi="仿宋" w:eastAsia="仿宋" w:cs="仿宋"/>
          <w:sz w:val="32"/>
          <w:szCs w:val="32"/>
        </w:rPr>
        <w:t>（一）单位简介</w:t>
      </w:r>
      <w:bookmarkEnd w:id="8"/>
    </w:p>
    <w:p>
      <w:pPr>
        <w:pStyle w:val="6"/>
        <w:pageBreakBefore w:val="0"/>
        <w:kinsoku/>
        <w:wordWrap/>
        <w:overflowPunct/>
        <w:topLinePunct w:val="0"/>
        <w:autoSpaceDE/>
        <w:autoSpaceDN/>
        <w:bidi w:val="0"/>
        <w:spacing w:line="360" w:lineRule="auto"/>
        <w:ind w:firstLine="640" w:firstLineChars="200"/>
        <w:rPr>
          <w:rFonts w:hint="eastAsia" w:ascii="仿宋" w:hAnsi="仿宋" w:eastAsia="仿宋" w:cs="仿宋"/>
          <w:b w:val="0"/>
          <w:bCs w:val="0"/>
          <w:sz w:val="32"/>
          <w:szCs w:val="32"/>
          <w:highlight w:val="none"/>
          <w:lang w:eastAsia="zh-CN"/>
        </w:rPr>
      </w:pPr>
      <w:bookmarkStart w:id="9" w:name="_Toc27471"/>
      <w:r>
        <w:rPr>
          <w:rFonts w:hint="eastAsia" w:ascii="仿宋" w:hAnsi="仿宋" w:eastAsia="仿宋" w:cs="仿宋"/>
          <w:b w:val="0"/>
          <w:bCs w:val="0"/>
          <w:sz w:val="32"/>
          <w:szCs w:val="32"/>
          <w:highlight w:val="none"/>
          <w:lang w:eastAsia="zh-CN"/>
        </w:rPr>
        <w:t>太康县政协为太康县正处级单位，单位机关共设行政委室6个，事业股室2个。太康县政协共有编制50人，其中：行政编制 44人，事业编制6人。在职人员33   人，离休人员 0人，退休人员17人，遗属人员 4人。</w:t>
      </w:r>
    </w:p>
    <w:p>
      <w:pPr>
        <w:pStyle w:val="12"/>
        <w:widowControl/>
        <w:spacing w:before="0" w:beforeAutospacing="0" w:after="0" w:afterAutospacing="0"/>
        <w:ind w:firstLine="640" w:firstLineChars="200"/>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中国人民政治协商会议太康县委员会部门预算单位6个其中包括机关本级和5个委室预算。</w:t>
      </w:r>
    </w:p>
    <w:p>
      <w:pPr>
        <w:pStyle w:val="12"/>
        <w:widowControl/>
        <w:spacing w:before="0" w:beforeAutospacing="0" w:after="0" w:afterAutospacing="0"/>
        <w:ind w:firstLine="320" w:firstLineChars="100"/>
        <w:jc w:val="both"/>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rPr>
        <w:t>1.中国人民政治协商会议太康县委员</w:t>
      </w:r>
      <w:r>
        <w:rPr>
          <w:rFonts w:hint="eastAsia" w:ascii="仿宋" w:hAnsi="仿宋" w:eastAsia="仿宋" w:cs="仿宋"/>
          <w:sz w:val="32"/>
          <w:szCs w:val="32"/>
          <w:shd w:val="clear" w:color="auto" w:fill="FFFFFF"/>
          <w:lang w:eastAsia="zh-CN"/>
        </w:rPr>
        <w:t>会</w:t>
      </w:r>
    </w:p>
    <w:p>
      <w:pPr>
        <w:pStyle w:val="12"/>
        <w:widowControl/>
        <w:shd w:val="clear" w:color="auto" w:fill="FFFFFF"/>
        <w:spacing w:before="4" w:beforeAutospacing="0" w:after="0" w:afterAutospacing="0" w:line="360" w:lineRule="atLeast"/>
        <w:ind w:right="118" w:firstLine="320" w:firstLineChars="100"/>
        <w:jc w:val="both"/>
        <w:rPr>
          <w:rFonts w:hint="eastAsia" w:ascii="仿宋" w:hAnsi="仿宋" w:eastAsia="仿宋" w:cs="仿宋"/>
          <w:sz w:val="32"/>
          <w:szCs w:val="32"/>
        </w:rPr>
      </w:pPr>
      <w:r>
        <w:rPr>
          <w:rFonts w:hint="eastAsia" w:ascii="仿宋" w:hAnsi="仿宋" w:eastAsia="仿宋" w:cs="仿宋"/>
          <w:sz w:val="32"/>
          <w:szCs w:val="32"/>
          <w:shd w:val="clear" w:color="auto" w:fill="FFFFFF"/>
        </w:rPr>
        <w:t>2.太康县政协</w:t>
      </w:r>
      <w:r>
        <w:rPr>
          <w:rFonts w:hint="eastAsia" w:ascii="仿宋" w:hAnsi="仿宋" w:eastAsia="仿宋" w:cs="仿宋"/>
          <w:sz w:val="32"/>
          <w:szCs w:val="32"/>
          <w:shd w:val="clear" w:color="auto" w:fill="FFFFFF"/>
          <w:lang w:eastAsia="zh-CN"/>
        </w:rPr>
        <w:t>社会和法制</w:t>
      </w:r>
      <w:r>
        <w:rPr>
          <w:rFonts w:hint="eastAsia" w:ascii="仿宋" w:hAnsi="仿宋" w:eastAsia="仿宋" w:cs="仿宋"/>
          <w:sz w:val="32"/>
          <w:szCs w:val="32"/>
          <w:shd w:val="clear" w:color="auto" w:fill="FFFFFF"/>
        </w:rPr>
        <w:t>委员会</w:t>
      </w:r>
    </w:p>
    <w:p>
      <w:pPr>
        <w:pStyle w:val="12"/>
        <w:widowControl/>
        <w:shd w:val="clear" w:color="auto" w:fill="FFFFFF"/>
        <w:spacing w:before="4" w:beforeAutospacing="0" w:after="0" w:afterAutospacing="0" w:line="360" w:lineRule="atLeast"/>
        <w:ind w:right="118" w:firstLine="320" w:firstLineChars="100"/>
        <w:jc w:val="both"/>
        <w:rPr>
          <w:rFonts w:hint="eastAsia" w:ascii="仿宋" w:hAnsi="仿宋" w:eastAsia="仿宋" w:cs="仿宋"/>
          <w:sz w:val="32"/>
          <w:szCs w:val="32"/>
        </w:rPr>
      </w:pPr>
      <w:r>
        <w:rPr>
          <w:rFonts w:hint="eastAsia" w:ascii="仿宋" w:hAnsi="仿宋" w:eastAsia="仿宋" w:cs="仿宋"/>
          <w:sz w:val="32"/>
          <w:szCs w:val="32"/>
          <w:shd w:val="clear" w:color="auto" w:fill="FFFFFF"/>
        </w:rPr>
        <w:t>3.太康县政协科教文卫体委员会</w:t>
      </w:r>
    </w:p>
    <w:p>
      <w:pPr>
        <w:pStyle w:val="12"/>
        <w:widowControl/>
        <w:shd w:val="clear" w:color="auto" w:fill="FFFFFF"/>
        <w:spacing w:before="4" w:beforeAutospacing="0" w:after="0" w:afterAutospacing="0" w:line="360" w:lineRule="atLeast"/>
        <w:ind w:right="118" w:firstLine="320" w:firstLineChars="100"/>
        <w:jc w:val="both"/>
        <w:rPr>
          <w:rFonts w:hint="eastAsia" w:ascii="仿宋" w:hAnsi="仿宋" w:eastAsia="仿宋" w:cs="仿宋"/>
          <w:sz w:val="32"/>
          <w:szCs w:val="32"/>
        </w:rPr>
      </w:pPr>
      <w:r>
        <w:rPr>
          <w:rFonts w:hint="eastAsia" w:ascii="仿宋" w:hAnsi="仿宋" w:eastAsia="仿宋" w:cs="仿宋"/>
          <w:sz w:val="32"/>
          <w:szCs w:val="32"/>
          <w:shd w:val="clear" w:color="auto" w:fill="FFFFFF"/>
        </w:rPr>
        <w:t>4.太康县政协提案委员会</w:t>
      </w:r>
    </w:p>
    <w:p>
      <w:pPr>
        <w:pStyle w:val="12"/>
        <w:widowControl/>
        <w:shd w:val="clear" w:color="auto" w:fill="FFFFFF"/>
        <w:spacing w:before="4" w:beforeAutospacing="0" w:after="0" w:afterAutospacing="0" w:line="360" w:lineRule="atLeast"/>
        <w:ind w:right="118" w:firstLine="320" w:firstLineChars="100"/>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5.太康县政协民族宗教和港澳台委员会</w:t>
      </w:r>
    </w:p>
    <w:p>
      <w:pPr>
        <w:pStyle w:val="12"/>
        <w:widowControl/>
        <w:shd w:val="clear" w:color="auto" w:fill="FFFFFF"/>
        <w:spacing w:before="4" w:beforeAutospacing="0" w:after="0" w:afterAutospacing="0" w:line="360" w:lineRule="atLeast"/>
        <w:ind w:right="118" w:firstLine="320" w:firstLineChars="100"/>
        <w:jc w:val="both"/>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6.太康县政协经济委员会</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主要职责</w:t>
      </w:r>
    </w:p>
    <w:p>
      <w:pPr>
        <w:pStyle w:val="12"/>
        <w:widowControl/>
        <w:shd w:val="clear" w:color="auto" w:fill="FFFFFF"/>
        <w:spacing w:before="4" w:beforeAutospacing="0" w:after="0" w:afterAutospacing="0" w:line="360" w:lineRule="atLeast"/>
        <w:ind w:left="439" w:leftChars="209" w:right="118" w:firstLine="652" w:firstLineChars="204"/>
        <w:jc w:val="both"/>
        <w:rPr>
          <w:rFonts w:hint="eastAsia" w:ascii="仿宋" w:hAnsi="仿宋" w:eastAsia="仿宋" w:cs="仿宋"/>
          <w:b/>
          <w:bCs/>
          <w:sz w:val="32"/>
          <w:szCs w:val="32"/>
        </w:rPr>
      </w:pPr>
      <w:r>
        <w:rPr>
          <w:rFonts w:hint="eastAsia" w:ascii="仿宋" w:hAnsi="仿宋" w:eastAsia="仿宋" w:cs="仿宋"/>
          <w:sz w:val="32"/>
          <w:szCs w:val="32"/>
          <w:shd w:val="clear" w:color="auto" w:fill="FFFFFF"/>
        </w:rPr>
        <w:t>遵照《中国人民政治协商会议章程》规定，认真履行政治协商、民主监督、参政议政的职能，积极参与社会政治生活、经济建设、民主与法制建设，探索新形势下政协工作新途径、新形式、新方法，在加强党的领导，推进党和政府的各项工作，实现重大决策的民主化、科学化、促进社会稳定和民族团结的进程中发挥政协组织的应有作用。</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当好县委的参谋。广泛听取各界意见，深入基层调查研究，了解社情民意，及时反馈有关信息和存在问题。摆正位置，选准角度，发挥优秀，参政议政，建言献策为党政领导科学决策提供依据和建议。</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坚决贯彻党的路线、方针、政策，学习和领会党的统战政策和理论，不断提高政治业务素质，以围绕经济建设为中心，积极研究、探索和拓宽新形势下政协的工作形式与任务。</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广泛加强横向联系，虚心学习交流外地经验，不断充实和完善政协各项工作，共同为振兴木垒经济献计出力。</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组织政协委员进行学习，及时交办委员提案，作好文史资料的征集、编审、出版发行和政协工作刊物的印发等工作。</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充分发挥各专委会的职能作用，围绕县党委、政府的中心工作和政协常委会的年度工作计划，开拓创新，积极主动地开展好各自的工作。</w:t>
      </w:r>
      <w:r>
        <w:rPr>
          <w:rFonts w:hint="eastAsia" w:ascii="仿宋" w:hAnsi="仿宋" w:eastAsia="仿宋" w:cs="仿宋"/>
          <w:sz w:val="32"/>
          <w:szCs w:val="32"/>
          <w:shd w:val="clear" w:color="auto" w:fill="FFFFFF"/>
        </w:rPr>
        <w:br w:type="textWrapping"/>
      </w:r>
      <w:r>
        <w:rPr>
          <w:rFonts w:hint="eastAsia" w:ascii="仿宋" w:hAnsi="仿宋" w:eastAsia="仿宋" w:cs="仿宋"/>
          <w:sz w:val="32"/>
          <w:szCs w:val="32"/>
          <w:shd w:val="clear" w:color="auto" w:fill="FFFFFF"/>
        </w:rPr>
        <w:t xml:space="preserve">  认真完成县委和上级政府交办的各项工作任务</w:t>
      </w:r>
    </w:p>
    <w:p>
      <w:pPr>
        <w:pStyle w:val="12"/>
        <w:widowControl/>
        <w:shd w:val="clear" w:color="auto" w:fill="FFFFFF"/>
        <w:spacing w:before="4" w:beforeAutospacing="0" w:after="0" w:afterAutospacing="0" w:line="360" w:lineRule="atLeast"/>
        <w:ind w:left="120" w:right="118" w:firstLine="640"/>
        <w:jc w:val="both"/>
        <w:rPr>
          <w:rFonts w:hint="eastAsia" w:ascii="仿宋" w:hAnsi="仿宋" w:eastAsia="仿宋" w:cs="仿宋"/>
          <w:sz w:val="32"/>
          <w:szCs w:val="32"/>
        </w:rPr>
      </w:pPr>
      <w:r>
        <w:rPr>
          <w:rFonts w:hint="eastAsia" w:ascii="仿宋" w:hAnsi="仿宋" w:eastAsia="仿宋" w:cs="仿宋"/>
          <w:sz w:val="32"/>
          <w:szCs w:val="32"/>
          <w:shd w:val="clear" w:color="auto" w:fill="FFFFFF"/>
        </w:rPr>
        <w:t>根据中共太康县机构编制委员会关于印发《政协太康县委员会职能配置、内设机构和人员编制方案》的通知(太编[2004]4号），设立政协太康县委员会，正处级单位，内设6个委室。</w:t>
      </w:r>
    </w:p>
    <w:p>
      <w:pPr>
        <w:pStyle w:val="12"/>
        <w:widowControl/>
        <w:numPr>
          <w:ilvl w:val="0"/>
          <w:numId w:val="1"/>
        </w:numPr>
        <w:shd w:val="clear" w:color="auto" w:fill="FFFFFF"/>
        <w:spacing w:before="4" w:beforeAutospacing="0" w:after="0" w:afterAutospacing="0" w:line="360" w:lineRule="atLeast"/>
        <w:ind w:right="118" w:firstLine="64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rPr>
        <w:t>办公室：负责筹备全体委员会、常委会、主席会和比较重要的会务工作，协助主席、副主席组织实施会议决议，并协调各工作机构的关系。起草机关有关文件，负责文件的传阅、打印、收发、管理、文书立卷和档案管理工作，上通下达、沟通内外，处理和接待委员及群众来信来访，负责机关财务管理，车辆调配、安全保卫和机关行政管理工作。</w:t>
      </w:r>
      <w:r>
        <w:rPr>
          <w:rFonts w:hint="eastAsia" w:ascii="仿宋" w:hAnsi="仿宋" w:eastAsia="仿宋" w:cs="仿宋"/>
          <w:sz w:val="32"/>
          <w:szCs w:val="32"/>
          <w:shd w:val="clear" w:color="auto" w:fill="FFFFFF"/>
          <w:lang w:eastAsia="zh-CN"/>
        </w:rPr>
        <w:t>办公室下设事业单位信息中心和文史馆。</w:t>
      </w:r>
    </w:p>
    <w:p>
      <w:pPr>
        <w:numPr>
          <w:ilvl w:val="0"/>
          <w:numId w:val="0"/>
        </w:numPr>
        <w:spacing w:line="540" w:lineRule="exact"/>
        <w:ind w:firstLine="640" w:firstLineChars="200"/>
        <w:rPr>
          <w:rFonts w:hint="eastAsia" w:ascii="仿宋" w:hAnsi="仿宋" w:eastAsia="仿宋" w:cs="仿宋"/>
          <w:kern w:val="0"/>
          <w:sz w:val="32"/>
          <w:szCs w:val="32"/>
          <w:shd w:val="clear" w:color="auto" w:fill="FFFFFF"/>
          <w:lang w:val="en-US" w:eastAsia="zh-CN" w:bidi="ar-SA"/>
        </w:rPr>
      </w:pPr>
      <w:r>
        <w:rPr>
          <w:rFonts w:hint="eastAsia" w:ascii="仿宋" w:hAnsi="仿宋" w:eastAsia="仿宋" w:cs="仿宋"/>
          <w:sz w:val="32"/>
          <w:szCs w:val="32"/>
          <w:shd w:val="clear" w:color="auto" w:fill="FFFFFF"/>
          <w:lang w:val="en-US" w:eastAsia="zh-CN"/>
        </w:rPr>
        <w:t>（1）信息中心：</w:t>
      </w:r>
      <w:r>
        <w:rPr>
          <w:rFonts w:hint="eastAsia" w:ascii="仿宋" w:hAnsi="仿宋" w:eastAsia="仿宋" w:cs="仿宋"/>
          <w:kern w:val="0"/>
          <w:sz w:val="32"/>
          <w:szCs w:val="32"/>
          <w:shd w:val="clear" w:color="auto" w:fill="FFFFFF"/>
          <w:lang w:val="en-US" w:eastAsia="zh-CN" w:bidi="ar-SA"/>
        </w:rPr>
        <w:t>负责制定县政协机关信息化建设规划并组织实施，推进政协机关办公自动化；负责县政协机关的电子信息管理和安全；负责县政协委员信息化服务平台、履职平台具体事务性工作及管理、更新和维护；负责县政协机关计算机和内部网络系统的管理与维护；负责县政协机关通信系统和视频会议系统的技术保障与维护；负责做好县政协全体会议、常委会议、主席会议及其他重要会议、重要工作及重大活动的多媒体资料的采集、整理、制作和建档；协调指导各乡镇政协联络组网络和信息化建设。</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103" w:rightChars="49" w:firstLine="640" w:firstLineChars="200"/>
        <w:jc w:val="left"/>
        <w:textAlignment w:val="auto"/>
        <w:rPr>
          <w:rFonts w:hint="eastAsia" w:ascii="仿宋" w:hAnsi="仿宋" w:eastAsia="仿宋" w:cs="仿宋"/>
          <w:kern w:val="0"/>
          <w:sz w:val="32"/>
          <w:szCs w:val="32"/>
          <w:shd w:val="clear" w:color="auto" w:fill="FFFFFF"/>
          <w:lang w:val="en-US" w:eastAsia="zh-CN" w:bidi="ar-SA"/>
        </w:rPr>
      </w:pPr>
      <w:r>
        <w:rPr>
          <w:rFonts w:hint="eastAsia" w:ascii="仿宋" w:hAnsi="仿宋" w:eastAsia="仿宋" w:cs="仿宋"/>
          <w:kern w:val="0"/>
          <w:sz w:val="32"/>
          <w:szCs w:val="32"/>
          <w:shd w:val="clear" w:color="auto" w:fill="FFFFFF"/>
          <w:lang w:val="en-US" w:eastAsia="zh-CN" w:bidi="ar-SA"/>
        </w:rPr>
        <w:t>（2）文史馆：宣传和展示中国共产党领导的多党合作和政治协商制度及其实践成果；宣传和展示人民政协的光辉历程和历史贡献，展示太康县政协履行职能的成果，加深社会群众对中国特色基本政治制度的了解；征集、收藏、研究、展示、利用人民政协的文史资料（手稿、照片、书刊、音像）和书画作品；开展文史资料、政协理论、政协文化方面的学术研究和交流活动。</w:t>
      </w:r>
    </w:p>
    <w:p>
      <w:pPr>
        <w:pStyle w:val="12"/>
        <w:widowControl/>
        <w:shd w:val="clear" w:color="auto" w:fill="FFFFFF"/>
        <w:spacing w:before="4" w:beforeAutospacing="0" w:after="0" w:afterAutospacing="0" w:line="360" w:lineRule="atLeast"/>
        <w:ind w:right="118" w:firstLine="640"/>
        <w:rPr>
          <w:rFonts w:hint="eastAsia" w:ascii="仿宋" w:hAnsi="仿宋" w:eastAsia="仿宋" w:cs="仿宋"/>
          <w:sz w:val="32"/>
          <w:szCs w:val="32"/>
        </w:rPr>
      </w:pPr>
      <w:r>
        <w:rPr>
          <w:rFonts w:hint="eastAsia" w:ascii="仿宋" w:hAnsi="仿宋" w:eastAsia="仿宋" w:cs="仿宋"/>
          <w:sz w:val="32"/>
          <w:szCs w:val="32"/>
          <w:shd w:val="clear" w:color="auto" w:fill="FFFFFF"/>
        </w:rPr>
        <w:t>（二）提案委员会：研究提出政协大会期间提案工作方案，对委员提案进行审查，提出处理意见，督促或协助提案单位促进重要提案的落实，向常委会议和全体会议提出提案工作报告，组织委员开展视察、调查活动；完成常委会议和主席会议交办的任务。</w:t>
      </w:r>
    </w:p>
    <w:p>
      <w:pPr>
        <w:pStyle w:val="12"/>
        <w:widowControl/>
        <w:shd w:val="clear" w:color="auto" w:fill="FFFFFF"/>
        <w:spacing w:before="4" w:beforeAutospacing="0" w:after="0" w:afterAutospacing="0" w:line="360" w:lineRule="atLeast"/>
        <w:ind w:right="118" w:firstLine="640"/>
        <w:rPr>
          <w:rFonts w:hint="eastAsia" w:ascii="仿宋" w:hAnsi="仿宋" w:eastAsia="仿宋" w:cs="仿宋"/>
          <w:sz w:val="32"/>
          <w:szCs w:val="32"/>
        </w:rPr>
      </w:pPr>
      <w:r>
        <w:rPr>
          <w:rFonts w:hint="eastAsia" w:ascii="仿宋" w:hAnsi="仿宋" w:eastAsia="仿宋" w:cs="仿宋"/>
          <w:sz w:val="32"/>
          <w:szCs w:val="32"/>
          <w:shd w:val="clear" w:color="auto" w:fill="FFFFFF"/>
        </w:rPr>
        <w:t>（三）经济委员会：学习宣传党和国家有关经济工作的方针、政策，推动经济界委员参政仪征；围绕县委、县政府经济发展战略和工作规划献计献策，研讨经济工作的决策和发展战略；积极开展信息交流工作，加强同经济界知名人士的联系交往；完成常委会议和主席会议交办的任务。</w:t>
      </w:r>
    </w:p>
    <w:p>
      <w:pPr>
        <w:pStyle w:val="12"/>
        <w:widowControl/>
        <w:shd w:val="clear" w:color="auto" w:fill="FFFFFF"/>
        <w:spacing w:before="4" w:beforeAutospacing="0" w:after="0" w:afterAutospacing="0" w:line="360" w:lineRule="atLeast"/>
        <w:ind w:right="118" w:firstLine="640"/>
        <w:rPr>
          <w:rFonts w:hint="eastAsia" w:ascii="仿宋" w:hAnsi="仿宋" w:eastAsia="仿宋" w:cs="仿宋"/>
          <w:sz w:val="32"/>
          <w:szCs w:val="32"/>
        </w:rPr>
      </w:pPr>
      <w:r>
        <w:rPr>
          <w:rFonts w:hint="eastAsia" w:ascii="仿宋" w:hAnsi="仿宋" w:eastAsia="仿宋" w:cs="仿宋"/>
          <w:sz w:val="32"/>
          <w:szCs w:val="32"/>
          <w:shd w:val="clear" w:color="auto" w:fill="FFFFFF"/>
        </w:rPr>
        <w:t>（四）社会和法制委员会：宣传贯彻国家有关方针政策和法律法规；就有关社会法制的重要问题进行调查研究，向党委、政府提出建议；检查监督有关法律法规的贯彻落实情况；组织政协委员围绕依法治县的主题，开展视察、调查活动。</w:t>
      </w:r>
    </w:p>
    <w:p>
      <w:pPr>
        <w:pStyle w:val="12"/>
        <w:widowControl/>
        <w:shd w:val="clear" w:color="auto" w:fill="FFFFFF"/>
        <w:spacing w:before="4" w:beforeAutospacing="0" w:after="0" w:afterAutospacing="0" w:line="360" w:lineRule="atLeast"/>
        <w:ind w:right="118" w:firstLine="640"/>
        <w:rPr>
          <w:rFonts w:hint="eastAsia" w:ascii="仿宋" w:hAnsi="仿宋" w:eastAsia="仿宋" w:cs="仿宋"/>
          <w:sz w:val="32"/>
          <w:szCs w:val="32"/>
        </w:rPr>
      </w:pPr>
      <w:r>
        <w:rPr>
          <w:rFonts w:hint="eastAsia" w:ascii="仿宋" w:hAnsi="仿宋" w:eastAsia="仿宋" w:cs="仿宋"/>
          <w:sz w:val="32"/>
          <w:szCs w:val="32"/>
          <w:shd w:val="clear" w:color="auto" w:fill="FFFFFF"/>
        </w:rPr>
        <w:t>（五）教科文卫体委员会：积极学习、宣传、贯彻党和国家的有关路线方针、政策促进我县科教文卫体工作的健康发展；联系和团结科教文卫体方面的学者、艺术家和有关人士，协助开展学术交流和文化交往活动；组织委员和有关人士，对科教文卫体方面的重大问题开展协商讨论专题调查、视察活动；完成常委会议和主席会议交办的任务。</w:t>
      </w:r>
    </w:p>
    <w:p>
      <w:pPr>
        <w:pStyle w:val="12"/>
        <w:widowControl/>
        <w:shd w:val="clear" w:color="auto" w:fill="FFFFFF"/>
        <w:spacing w:before="4" w:beforeAutospacing="0" w:after="0" w:afterAutospacing="0" w:line="360" w:lineRule="atLeast"/>
        <w:ind w:right="118" w:firstLine="640"/>
        <w:rPr>
          <w:b/>
          <w:bCs/>
          <w:sz w:val="28"/>
          <w:szCs w:val="28"/>
        </w:rPr>
      </w:pPr>
      <w:r>
        <w:rPr>
          <w:rFonts w:hint="eastAsia" w:ascii="仿宋" w:hAnsi="仿宋" w:eastAsia="仿宋" w:cs="仿宋"/>
          <w:sz w:val="32"/>
          <w:szCs w:val="32"/>
          <w:shd w:val="clear" w:color="auto" w:fill="FFFFFF"/>
        </w:rPr>
        <w:t>（六）民族宗教和港澳台委员会：学习宣传民族宗教政策，组织检查民族宗教政策落实情况；联系少数民族和宗教界代表人士，开展对港澳台胞的联谊活动，听取和反应他们的意见，向党委和政府提出建议，协助解决问题；完成常委会议和主席会议交办的任务。</w:t>
      </w:r>
    </w:p>
    <w:p>
      <w:pPr>
        <w:rPr>
          <w:rFonts w:hint="eastAsia"/>
          <w:lang w:eastAsia="zh-CN"/>
        </w:rPr>
      </w:pP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（二）年度部门总目标及主要任务</w:t>
      </w:r>
      <w:bookmarkEnd w:id="9"/>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bookmarkStart w:id="10" w:name="_Toc5610"/>
      <w:bookmarkStart w:id="11" w:name="_Toc18200"/>
      <w:bookmarkStart w:id="12" w:name="_Toc21119"/>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工作计划并</w:t>
      </w:r>
      <w:r>
        <w:rPr>
          <w:rFonts w:hint="eastAsia" w:ascii="仿宋" w:hAnsi="仿宋" w:eastAsia="仿宋" w:cs="仿宋"/>
          <w:sz w:val="32"/>
          <w:szCs w:val="32"/>
          <w:highlight w:val="none"/>
        </w:rPr>
        <w:t>结合部门年初工作要点，我单位制定了如下年度目标及任务：</w:t>
      </w:r>
      <w:bookmarkEnd w:id="10"/>
      <w:bookmarkEnd w:id="11"/>
      <w:bookmarkEnd w:id="12"/>
    </w:p>
    <w:p>
      <w:pPr>
        <w:pStyle w:val="7"/>
        <w:pageBreakBefore w:val="0"/>
        <w:kinsoku/>
        <w:wordWrap/>
        <w:overflowPunct/>
        <w:topLinePunct w:val="0"/>
        <w:autoSpaceDE/>
        <w:autoSpaceDN/>
        <w:bidi w:val="0"/>
        <w:spacing w:line="360" w:lineRule="auto"/>
        <w:jc w:val="both"/>
        <w:rPr>
          <w:rFonts w:hint="eastAsia" w:ascii="仿宋" w:hAnsi="仿宋" w:eastAsia="仿宋" w:cs="仿宋"/>
          <w:b/>
          <w:bCs/>
          <w:sz w:val="32"/>
          <w:szCs w:val="32"/>
        </w:rPr>
      </w:pPr>
      <w:r>
        <w:rPr>
          <w:rFonts w:hint="eastAsia" w:ascii="仿宋" w:hAnsi="仿宋" w:eastAsia="仿宋" w:cs="仿宋"/>
          <w:b/>
          <w:bCs/>
          <w:sz w:val="32"/>
          <w:szCs w:val="32"/>
        </w:rPr>
        <w:t>1.年度总体目标</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目标1：</w:t>
      </w:r>
      <w:r>
        <w:rPr>
          <w:rFonts w:hint="eastAsia" w:ascii="仿宋" w:hAnsi="仿宋" w:eastAsia="仿宋" w:cs="仿宋"/>
          <w:sz w:val="32"/>
          <w:szCs w:val="32"/>
          <w:lang w:eastAsia="zh-CN"/>
        </w:rPr>
        <w:t>政治协商和民主监督，组织参加本会的各党派、团体和各族各界人士参政议政。</w:t>
      </w:r>
    </w:p>
    <w:p>
      <w:pPr>
        <w:pStyle w:val="7"/>
        <w:pageBreakBefore w:val="0"/>
        <w:kinsoku/>
        <w:wordWrap/>
        <w:overflowPunct/>
        <w:topLinePunct w:val="0"/>
        <w:autoSpaceDE/>
        <w:autoSpaceDN/>
        <w:bidi w:val="0"/>
        <w:spacing w:line="360" w:lineRule="auto"/>
        <w:jc w:val="both"/>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2.年度主要工作内容</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任务1：</w:t>
      </w:r>
      <w:r>
        <w:rPr>
          <w:rFonts w:hint="eastAsia" w:ascii="仿宋" w:hAnsi="仿宋" w:eastAsia="仿宋" w:cs="仿宋"/>
          <w:sz w:val="32"/>
          <w:szCs w:val="32"/>
          <w:lang w:eastAsia="zh-CN"/>
        </w:rPr>
        <w:t>发扬社会主义民主，反映社会各方面的意见和要求</w:t>
      </w:r>
      <w:r>
        <w:rPr>
          <w:rFonts w:hint="eastAsia" w:ascii="仿宋" w:hAnsi="仿宋" w:cs="仿宋"/>
          <w:sz w:val="32"/>
          <w:szCs w:val="32"/>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任务2：</w:t>
      </w:r>
      <w:r>
        <w:rPr>
          <w:rFonts w:hint="eastAsia" w:ascii="仿宋" w:hAnsi="仿宋" w:eastAsia="仿宋" w:cs="仿宋"/>
          <w:sz w:val="32"/>
          <w:szCs w:val="32"/>
          <w:lang w:eastAsia="zh-CN"/>
        </w:rPr>
        <w:t>为参加人民政协的各民主党派、无党派爱国人士、人民团体、少数民族人士和各界爱国人士发挥作用开辟畅通的渠道，集思广益，促进国家重大决策的科学化与民主化</w:t>
      </w:r>
      <w:r>
        <w:rPr>
          <w:rFonts w:hint="eastAsia" w:ascii="仿宋" w:hAnsi="仿宋" w:cs="仿宋"/>
          <w:sz w:val="32"/>
          <w:szCs w:val="32"/>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任务3：</w:t>
      </w:r>
      <w:r>
        <w:rPr>
          <w:rFonts w:hint="eastAsia" w:ascii="仿宋" w:hAnsi="仿宋" w:eastAsia="仿宋" w:cs="仿宋"/>
          <w:sz w:val="32"/>
          <w:szCs w:val="32"/>
          <w:lang w:eastAsia="zh-CN"/>
        </w:rPr>
        <w:t>监督国家机关改进工作，提高效率，克服官僚主义，反对腐败现象</w:t>
      </w:r>
      <w:r>
        <w:rPr>
          <w:rFonts w:hint="eastAsia" w:ascii="仿宋" w:hAnsi="仿宋" w:cs="仿宋"/>
          <w:sz w:val="32"/>
          <w:szCs w:val="32"/>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任务4：</w:t>
      </w:r>
      <w:r>
        <w:rPr>
          <w:rFonts w:hint="eastAsia" w:ascii="仿宋" w:hAnsi="仿宋" w:eastAsia="仿宋" w:cs="仿宋"/>
          <w:sz w:val="32"/>
          <w:szCs w:val="32"/>
          <w:lang w:eastAsia="zh-CN"/>
        </w:rPr>
        <w:t>推动社会主义物质文明、政治文明、精神文明建设，促进社会主义市场经济和社会生产力的发展；协调社会各方面的关系，促进各方面的相互沟通和理解，加强在共产党领导下各党派的团结合作</w:t>
      </w:r>
      <w:r>
        <w:rPr>
          <w:rFonts w:hint="eastAsia" w:ascii="仿宋" w:hAnsi="仿宋" w:cs="仿宋"/>
          <w:sz w:val="32"/>
          <w:szCs w:val="32"/>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任务5：</w:t>
      </w:r>
      <w:r>
        <w:rPr>
          <w:rFonts w:hint="eastAsia" w:ascii="仿宋" w:hAnsi="仿宋" w:eastAsia="仿宋" w:cs="仿宋"/>
          <w:sz w:val="32"/>
          <w:szCs w:val="32"/>
          <w:lang w:eastAsia="zh-CN"/>
        </w:rPr>
        <w:t>贯彻执行“和平统一、一国两制”的方针，促进祖国统一大业的实现。</w:t>
      </w:r>
    </w:p>
    <w:p>
      <w:pPr>
        <w:pStyle w:val="7"/>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3.年度部门整体预算绩效目标、绩效指标设定情况</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bookmarkStart w:id="13" w:name="_Toc19880"/>
      <w:bookmarkStart w:id="14" w:name="_Toc12027"/>
      <w:bookmarkStart w:id="15" w:name="_Toc10759"/>
      <w:bookmarkStart w:id="16" w:name="_Toc23108"/>
      <w:bookmarkStart w:id="17" w:name="_Toc25009"/>
      <w:r>
        <w:rPr>
          <w:rFonts w:hint="eastAsia" w:ascii="仿宋" w:hAnsi="仿宋" w:eastAsia="仿宋" w:cs="仿宋"/>
          <w:sz w:val="32"/>
          <w:szCs w:val="32"/>
        </w:rPr>
        <w:t>我单位根</w:t>
      </w:r>
      <w:r>
        <w:rPr>
          <w:rFonts w:hint="eastAsia" w:ascii="仿宋" w:hAnsi="仿宋" w:eastAsia="仿宋" w:cs="仿宋"/>
          <w:sz w:val="32"/>
          <w:szCs w:val="32"/>
          <w:highlight w:val="none"/>
        </w:rPr>
        <w:t>据</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w:t>
      </w:r>
      <w:r>
        <w:rPr>
          <w:rFonts w:hint="eastAsia" w:ascii="仿宋" w:hAnsi="仿宋" w:eastAsia="仿宋" w:cs="仿宋"/>
          <w:sz w:val="32"/>
          <w:szCs w:val="32"/>
        </w:rPr>
        <w:t>工作计划，</w:t>
      </w:r>
      <w:r>
        <w:rPr>
          <w:rFonts w:hint="eastAsia" w:ascii="仿宋" w:hAnsi="仿宋" w:eastAsia="仿宋" w:cs="仿宋"/>
          <w:sz w:val="32"/>
          <w:szCs w:val="32"/>
          <w:highlight w:val="none"/>
        </w:rPr>
        <w:t>按照</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文件</w:t>
      </w:r>
      <w:r>
        <w:rPr>
          <w:rFonts w:hint="eastAsia" w:ascii="仿宋" w:hAnsi="仿宋" w:eastAsia="仿宋" w:cs="仿宋"/>
          <w:sz w:val="32"/>
          <w:szCs w:val="32"/>
        </w:rPr>
        <w:t>要求，制定部门年度整体预算绩效目标表，具体内</w:t>
      </w:r>
      <w:r>
        <w:rPr>
          <w:rFonts w:hint="eastAsia" w:ascii="仿宋" w:hAnsi="仿宋" w:eastAsia="仿宋" w:cs="仿宋"/>
          <w:sz w:val="32"/>
          <w:szCs w:val="32"/>
          <w:highlight w:val="none"/>
        </w:rPr>
        <w:t>容详见附件1；</w:t>
      </w:r>
      <w:bookmarkEnd w:id="13"/>
      <w:bookmarkEnd w:id="14"/>
      <w:bookmarkEnd w:id="15"/>
      <w:bookmarkEnd w:id="16"/>
      <w:bookmarkEnd w:id="17"/>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highlight w:val="none"/>
        </w:rPr>
        <w:t>本次自评指标体系包括3个一级指标</w:t>
      </w:r>
      <w:r>
        <w:rPr>
          <w:rFonts w:hint="eastAsia" w:ascii="仿宋" w:hAnsi="仿宋" w:cs="仿宋"/>
          <w:sz w:val="32"/>
          <w:szCs w:val="32"/>
          <w:highlight w:val="none"/>
          <w:lang w:val="en-US" w:eastAsia="zh-CN"/>
        </w:rPr>
        <w:t>7</w:t>
      </w:r>
      <w:r>
        <w:rPr>
          <w:rFonts w:hint="eastAsia" w:ascii="仿宋" w:hAnsi="仿宋" w:eastAsia="仿宋" w:cs="仿宋"/>
          <w:sz w:val="32"/>
          <w:szCs w:val="32"/>
          <w:highlight w:val="none"/>
        </w:rPr>
        <w:t>个二级指标、</w:t>
      </w:r>
      <w:r>
        <w:rPr>
          <w:rFonts w:hint="eastAsia" w:ascii="仿宋" w:hAnsi="仿宋" w:cs="仿宋"/>
          <w:sz w:val="32"/>
          <w:szCs w:val="32"/>
          <w:highlight w:val="none"/>
          <w:lang w:val="en-US" w:eastAsia="zh-CN"/>
        </w:rPr>
        <w:t>28</w:t>
      </w:r>
      <w:r>
        <w:rPr>
          <w:rFonts w:hint="eastAsia" w:ascii="仿宋" w:hAnsi="仿宋" w:eastAsia="仿宋" w:cs="仿宋"/>
          <w:sz w:val="32"/>
          <w:szCs w:val="32"/>
          <w:highlight w:val="none"/>
        </w:rPr>
        <w:t>个三级指标。其中一级指标</w:t>
      </w:r>
      <w:r>
        <w:rPr>
          <w:rFonts w:hint="eastAsia" w:ascii="仿宋" w:hAnsi="仿宋" w:eastAsia="仿宋" w:cs="仿宋"/>
          <w:sz w:val="32"/>
          <w:szCs w:val="32"/>
          <w:highlight w:val="none"/>
          <w:lang w:val="en-US" w:eastAsia="zh-CN"/>
        </w:rPr>
        <w:t>从</w:t>
      </w:r>
      <w:r>
        <w:rPr>
          <w:rFonts w:hint="eastAsia" w:ascii="仿宋" w:hAnsi="仿宋" w:eastAsia="仿宋" w:cs="仿宋"/>
          <w:sz w:val="32"/>
          <w:szCs w:val="32"/>
          <w:highlight w:val="none"/>
        </w:rPr>
        <w:t>投入管理指标、产出指标、效益指标3个方面</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对一级指标进行细化评价；二级指标从整体工作目标管理情况、预算和财务管理、绩效管理、重点工作任务完成、履职目标实现、</w:t>
      </w:r>
      <w:r>
        <w:rPr>
          <w:rFonts w:hint="eastAsia" w:ascii="仿宋" w:hAnsi="仿宋" w:cs="仿宋"/>
          <w:sz w:val="32"/>
          <w:szCs w:val="32"/>
          <w:highlight w:val="none"/>
          <w:lang w:eastAsia="zh-CN"/>
        </w:rPr>
        <w:t>履职效益、</w:t>
      </w:r>
      <w:r>
        <w:rPr>
          <w:rFonts w:hint="eastAsia" w:ascii="仿宋" w:hAnsi="仿宋" w:eastAsia="仿宋" w:cs="仿宋"/>
          <w:sz w:val="32"/>
          <w:szCs w:val="32"/>
          <w:highlight w:val="none"/>
        </w:rPr>
        <w:t>满意度</w:t>
      </w:r>
      <w:r>
        <w:rPr>
          <w:rFonts w:hint="eastAsia" w:ascii="仿宋" w:hAnsi="仿宋" w:cs="仿宋"/>
          <w:sz w:val="32"/>
          <w:szCs w:val="32"/>
          <w:highlight w:val="none"/>
          <w:lang w:val="en-US" w:eastAsia="zh-CN"/>
        </w:rPr>
        <w:t>7</w:t>
      </w:r>
      <w:r>
        <w:rPr>
          <w:rFonts w:hint="eastAsia" w:ascii="仿宋" w:hAnsi="仿宋" w:eastAsia="仿宋" w:cs="仿宋"/>
          <w:sz w:val="32"/>
          <w:szCs w:val="32"/>
        </w:rPr>
        <w:t>个方面对一级指标进行细化评价，三级指标是对二级指标的细化、量化。</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rPr>
      </w:pPr>
      <w:bookmarkStart w:id="18" w:name="_Toc31554"/>
      <w:r>
        <w:rPr>
          <w:rFonts w:hint="eastAsia" w:ascii="仿宋" w:hAnsi="仿宋" w:eastAsia="仿宋" w:cs="仿宋"/>
          <w:color w:val="auto"/>
          <w:sz w:val="32"/>
          <w:szCs w:val="32"/>
        </w:rPr>
        <w:t>二、绩效自评工作开展情况</w:t>
      </w:r>
      <w:bookmarkEnd w:id="18"/>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19" w:name="_Toc12307"/>
      <w:r>
        <w:rPr>
          <w:rFonts w:hint="eastAsia" w:ascii="仿宋" w:hAnsi="仿宋" w:eastAsia="仿宋" w:cs="仿宋"/>
          <w:sz w:val="32"/>
          <w:szCs w:val="32"/>
          <w:lang w:val="en-US" w:eastAsia="zh-CN"/>
        </w:rPr>
        <w:t>（一）评价方法</w:t>
      </w:r>
      <w:bookmarkEnd w:id="19"/>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一是对照“部门整体支出绩效评价指标体系评分表”的主要考评内容及工作完成情况，将可以公开的资料整理成佐证材料。对照当年工作计划和上级交办的各项工作内容，进行自评、复</w:t>
      </w:r>
      <w:r>
        <w:rPr>
          <w:rFonts w:hint="eastAsia" w:ascii="仿宋" w:hAnsi="仿宋" w:eastAsia="仿宋" w:cs="仿宋"/>
          <w:sz w:val="32"/>
          <w:szCs w:val="32"/>
          <w:lang w:val="en-US" w:eastAsia="zh-CN"/>
        </w:rPr>
        <w:t>核</w:t>
      </w:r>
      <w:r>
        <w:rPr>
          <w:rFonts w:hint="eastAsia" w:ascii="仿宋" w:hAnsi="仿宋" w:eastAsia="仿宋" w:cs="仿宋"/>
          <w:sz w:val="32"/>
          <w:szCs w:val="32"/>
        </w:rPr>
        <w:t>，形成总体得分。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二是制作了网络调查问卷，指派专人管理，对评价情况进行统计、汇总和复核后，形成</w:t>
      </w:r>
      <w:r>
        <w:rPr>
          <w:rFonts w:hint="eastAsia" w:ascii="仿宋" w:hAnsi="仿宋" w:eastAsia="仿宋" w:cs="仿宋"/>
          <w:sz w:val="32"/>
          <w:szCs w:val="32"/>
          <w:lang w:eastAsia="zh-CN"/>
        </w:rPr>
        <w:t>我</w:t>
      </w:r>
      <w:r>
        <w:rPr>
          <w:rFonts w:hint="eastAsia" w:ascii="仿宋" w:hAnsi="仿宋" w:eastAsia="仿宋" w:cs="仿宋"/>
          <w:sz w:val="32"/>
          <w:szCs w:val="32"/>
        </w:rPr>
        <w:t>单位社会满意度调查结果。</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20" w:name="_Toc25686"/>
      <w:r>
        <w:rPr>
          <w:rFonts w:hint="eastAsia" w:ascii="仿宋" w:hAnsi="仿宋" w:eastAsia="仿宋" w:cs="仿宋"/>
          <w:sz w:val="32"/>
          <w:szCs w:val="32"/>
          <w:lang w:val="en-US" w:eastAsia="zh-CN"/>
        </w:rPr>
        <w:t>（二）工作程序</w:t>
      </w:r>
      <w:bookmarkEnd w:id="20"/>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周口市太康县财政局《关于开展2021年度部门整体支出绩效自评工作的通知》</w:t>
      </w:r>
      <w:r>
        <w:rPr>
          <w:rFonts w:hint="eastAsia" w:ascii="仿宋" w:hAnsi="仿宋" w:eastAsia="仿宋" w:cs="仿宋"/>
          <w:sz w:val="32"/>
          <w:szCs w:val="32"/>
          <w:highlight w:val="none"/>
        </w:rPr>
        <w:t>及要求，</w:t>
      </w:r>
      <w:r>
        <w:rPr>
          <w:rFonts w:hint="eastAsia" w:ascii="仿宋" w:hAnsi="仿宋" w:eastAsia="仿宋" w:cs="仿宋"/>
          <w:sz w:val="32"/>
          <w:szCs w:val="32"/>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ascii="仿宋" w:hAnsi="仿宋" w:eastAsia="仿宋" w:cs="仿宋"/>
          <w:sz w:val="32"/>
          <w:szCs w:val="32"/>
          <w:lang w:eastAsia="zh-CN"/>
        </w:rPr>
        <w:t>2021</w:t>
      </w:r>
      <w:bookmarkStart w:id="42" w:name="_GoBack"/>
      <w:bookmarkEnd w:id="42"/>
      <w:r>
        <w:rPr>
          <w:rFonts w:hint="eastAsia" w:ascii="仿宋" w:hAnsi="仿宋" w:eastAsia="仿宋" w:cs="仿宋"/>
          <w:sz w:val="32"/>
          <w:szCs w:val="32"/>
        </w:rPr>
        <w:t>年度部门整体履职效益进行自评打分，发现问题，并落实整改。</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rPr>
      </w:pPr>
      <w:bookmarkStart w:id="21" w:name="_Toc3418"/>
      <w:r>
        <w:rPr>
          <w:rFonts w:hint="eastAsia" w:ascii="仿宋" w:hAnsi="仿宋" w:eastAsia="仿宋" w:cs="仿宋"/>
          <w:color w:val="auto"/>
          <w:sz w:val="32"/>
          <w:szCs w:val="32"/>
        </w:rPr>
        <w:t>三、综合评价结论</w:t>
      </w:r>
      <w:bookmarkEnd w:id="21"/>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依据自</w:t>
      </w:r>
      <w:r>
        <w:rPr>
          <w:rFonts w:hint="eastAsia" w:ascii="仿宋" w:hAnsi="仿宋" w:eastAsia="仿宋" w:cs="仿宋"/>
          <w:color w:val="000000" w:themeColor="text1"/>
          <w:sz w:val="32"/>
          <w:szCs w:val="32"/>
          <w:highlight w:val="none"/>
        </w:rPr>
        <w:t>评指标体系，通过对预算执行情况、投入管理指标、产出指标、效益指标进行全面综合评价，</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年度我单位整体自评得分为</w:t>
      </w:r>
      <w:r>
        <w:rPr>
          <w:rFonts w:hint="eastAsia" w:ascii="仿宋" w:hAnsi="仿宋" w:cs="仿宋"/>
          <w:color w:val="000000" w:themeColor="text1"/>
          <w:sz w:val="32"/>
          <w:szCs w:val="32"/>
          <w:highlight w:val="none"/>
          <w:lang w:val="en-US" w:eastAsia="zh-CN"/>
        </w:rPr>
        <w:t>94</w:t>
      </w:r>
      <w:r>
        <w:rPr>
          <w:rFonts w:hint="eastAsia" w:ascii="仿宋" w:hAnsi="仿宋" w:eastAsia="仿宋" w:cs="仿宋"/>
          <w:color w:val="000000" w:themeColor="text1"/>
          <w:sz w:val="32"/>
          <w:szCs w:val="32"/>
          <w:highlight w:val="none"/>
        </w:rPr>
        <w:t>分，评价等级为“</w:t>
      </w:r>
      <w:r>
        <w:rPr>
          <w:rFonts w:hint="eastAsia" w:ascii="仿宋" w:hAnsi="仿宋" w:cs="仿宋"/>
          <w:color w:val="000000" w:themeColor="text1"/>
          <w:sz w:val="32"/>
          <w:szCs w:val="32"/>
          <w:highlight w:val="none"/>
          <w:lang w:val="en-US" w:eastAsia="zh-CN"/>
        </w:rPr>
        <w:t>优</w:t>
      </w:r>
      <w:r>
        <w:rPr>
          <w:rFonts w:hint="eastAsia" w:ascii="仿宋" w:hAnsi="仿宋" w:eastAsia="仿宋" w:cs="仿宋"/>
          <w:color w:val="000000" w:themeColor="text1"/>
          <w:sz w:val="32"/>
          <w:szCs w:val="32"/>
          <w:highlight w:val="none"/>
        </w:rPr>
        <w:t>”。其中，预算执行率一项得分</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分，投入管理指标得分</w:t>
      </w:r>
      <w:r>
        <w:rPr>
          <w:rFonts w:hint="eastAsia" w:ascii="仿宋" w:hAnsi="仿宋" w:cs="仿宋"/>
          <w:color w:val="000000" w:themeColor="text1"/>
          <w:sz w:val="32"/>
          <w:szCs w:val="32"/>
          <w:highlight w:val="none"/>
          <w:lang w:val="en-US" w:eastAsia="zh-CN"/>
        </w:rPr>
        <w:t>30</w:t>
      </w:r>
      <w:r>
        <w:rPr>
          <w:rFonts w:hint="eastAsia" w:ascii="仿宋" w:hAnsi="仿宋" w:eastAsia="仿宋" w:cs="仿宋"/>
          <w:color w:val="000000" w:themeColor="text1"/>
          <w:sz w:val="32"/>
          <w:szCs w:val="32"/>
          <w:highlight w:val="none"/>
        </w:rPr>
        <w:t>分，产出指标得分</w:t>
      </w:r>
      <w:r>
        <w:rPr>
          <w:rFonts w:hint="eastAsia" w:ascii="仿宋" w:hAnsi="仿宋" w:cs="仿宋"/>
          <w:color w:val="000000" w:themeColor="text1"/>
          <w:sz w:val="32"/>
          <w:szCs w:val="32"/>
          <w:highlight w:val="none"/>
          <w:lang w:val="en-US" w:eastAsia="zh-CN"/>
        </w:rPr>
        <w:t>20</w:t>
      </w:r>
      <w:r>
        <w:rPr>
          <w:rFonts w:hint="eastAsia" w:ascii="仿宋" w:hAnsi="仿宋" w:eastAsia="仿宋" w:cs="仿宋"/>
          <w:color w:val="000000" w:themeColor="text1"/>
          <w:sz w:val="32"/>
          <w:szCs w:val="32"/>
          <w:highlight w:val="none"/>
        </w:rPr>
        <w:t>分，效益指标得分</w:t>
      </w:r>
      <w:r>
        <w:rPr>
          <w:rFonts w:hint="eastAsia" w:ascii="仿宋" w:hAnsi="仿宋" w:cs="仿宋"/>
          <w:color w:val="000000" w:themeColor="text1"/>
          <w:sz w:val="32"/>
          <w:szCs w:val="32"/>
          <w:highlight w:val="none"/>
          <w:lang w:val="en-US" w:eastAsia="zh-CN"/>
        </w:rPr>
        <w:t>40</w:t>
      </w:r>
      <w:r>
        <w:rPr>
          <w:rFonts w:hint="eastAsia" w:ascii="仿宋" w:hAnsi="仿宋" w:eastAsia="仿宋" w:cs="仿宋"/>
          <w:color w:val="000000" w:themeColor="text1"/>
          <w:sz w:val="32"/>
          <w:szCs w:val="32"/>
          <w:highlight w:val="none"/>
        </w:rPr>
        <w:t>分；总体得分情况如下表3-1，具体指标得分情况详见表3-</w:t>
      </w:r>
      <w:r>
        <w:rPr>
          <w:rFonts w:hint="eastAsia" w:ascii="仿宋" w:hAnsi="仿宋" w:eastAsia="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rPr>
          <w:rFonts w:hint="eastAsia" w:ascii="仿宋" w:hAnsi="仿宋" w:eastAsia="仿宋" w:cs="仿宋"/>
          <w:sz w:val="32"/>
          <w:szCs w:val="32"/>
        </w:rPr>
      </w:pPr>
    </w:p>
    <w:p>
      <w:pPr>
        <w:pStyle w:val="2"/>
        <w:rPr>
          <w:rFonts w:hint="eastAsia" w:ascii="仿宋" w:hAnsi="仿宋" w:eastAsia="仿宋" w:cs="仿宋"/>
          <w:sz w:val="32"/>
          <w:szCs w:val="32"/>
        </w:rPr>
      </w:pPr>
    </w:p>
    <w:p>
      <w:pPr>
        <w:rPr>
          <w:rFonts w:hint="eastAsia" w:ascii="仿宋" w:hAnsi="仿宋" w:eastAsia="仿宋" w:cs="仿宋"/>
          <w:sz w:val="32"/>
          <w:szCs w:val="32"/>
        </w:rPr>
      </w:pPr>
    </w:p>
    <w:p>
      <w:pPr>
        <w:pStyle w:val="2"/>
        <w:rPr>
          <w:rFonts w:hint="eastAsia"/>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表3-1 部门整体得分情况</w:t>
      </w:r>
    </w:p>
    <w:tbl>
      <w:tblPr>
        <w:tblStyle w:val="16"/>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753"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40</w:t>
            </w:r>
          </w:p>
        </w:tc>
        <w:tc>
          <w:tcPr>
            <w:tcW w:w="52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86.66%</w:t>
            </w:r>
          </w:p>
        </w:tc>
        <w:tc>
          <w:tcPr>
            <w:tcW w:w="72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c>
          <w:tcPr>
            <w:tcW w:w="753"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95%</w:t>
            </w:r>
          </w:p>
        </w:tc>
        <w:tc>
          <w:tcPr>
            <w:tcW w:w="52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rPr>
            </w:pPr>
            <w:r>
              <w:rPr>
                <w:rFonts w:hint="eastAsia" w:ascii="仿宋" w:hAnsi="仿宋" w:eastAsia="仿宋" w:cs="仿宋"/>
                <w:sz w:val="24"/>
                <w:szCs w:val="24"/>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26</w:t>
            </w:r>
          </w:p>
        </w:tc>
        <w:tc>
          <w:tcPr>
            <w:tcW w:w="724"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753"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38</w:t>
            </w:r>
          </w:p>
        </w:tc>
        <w:tc>
          <w:tcPr>
            <w:tcW w:w="520" w:type="pct"/>
            <w:tcBorders>
              <w:top w:val="single" w:color="auto" w:sz="4" w:space="0"/>
              <w:left w:val="single" w:color="auto" w:sz="4" w:space="0"/>
              <w:bottom w:val="single" w:color="auto" w:sz="4" w:space="0"/>
              <w:right w:val="single" w:color="auto" w:sz="4" w:space="0"/>
            </w:tcBorders>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98</w:t>
            </w:r>
          </w:p>
        </w:tc>
      </w:tr>
    </w:tbl>
    <w:p>
      <w:pPr>
        <w:pStyle w:val="25"/>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表3-2 各项指标得分情况表</w:t>
      </w:r>
    </w:p>
    <w:tbl>
      <w:tblPr>
        <w:tblStyle w:val="15"/>
        <w:tblW w:w="4998" w:type="pct"/>
        <w:jc w:val="center"/>
        <w:tblLayout w:type="autofit"/>
        <w:tblCellMar>
          <w:top w:w="0" w:type="dxa"/>
          <w:left w:w="108" w:type="dxa"/>
          <w:bottom w:w="0" w:type="dxa"/>
          <w:right w:w="108" w:type="dxa"/>
        </w:tblCellMar>
      </w:tblPr>
      <w:tblGrid>
        <w:gridCol w:w="986"/>
        <w:gridCol w:w="1430"/>
        <w:gridCol w:w="2418"/>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57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一级指标</w:t>
            </w:r>
          </w:p>
        </w:tc>
        <w:tc>
          <w:tcPr>
            <w:tcW w:w="83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二级指标</w:t>
            </w:r>
          </w:p>
        </w:tc>
        <w:tc>
          <w:tcPr>
            <w:tcW w:w="141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得分</w:t>
            </w:r>
          </w:p>
        </w:tc>
      </w:tr>
      <w:tr>
        <w:tblPrEx>
          <w:tblCellMar>
            <w:top w:w="0" w:type="dxa"/>
            <w:left w:w="108" w:type="dxa"/>
            <w:bottom w:w="0" w:type="dxa"/>
            <w:right w:w="108" w:type="dxa"/>
          </w:tblCellMar>
        </w:tblPrEx>
        <w:trPr>
          <w:trHeight w:val="567" w:hRule="atLeast"/>
          <w:jc w:val="center"/>
        </w:trPr>
        <w:tc>
          <w:tcPr>
            <w:tcW w:w="5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预算执行率</w:t>
            </w:r>
          </w:p>
        </w:tc>
        <w:tc>
          <w:tcPr>
            <w:tcW w:w="8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预算执行率</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预算执行率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投入管理指标</w:t>
            </w: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工作目标管理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年度履职目标相关性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eastAsia"/>
                <w:color w:val="auto"/>
                <w:sz w:val="22"/>
                <w:szCs w:val="21"/>
                <w:highlight w:val="none"/>
                <w:lang w:val="en-US" w:eastAsia="zh-CN"/>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工作任务科学性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eastAsia"/>
                <w:color w:val="auto"/>
                <w:sz w:val="22"/>
                <w:szCs w:val="21"/>
                <w:highlight w:val="none"/>
                <w:lang w:val="en-US" w:eastAsia="zh-CN"/>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绩效指标合理性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eastAsia"/>
                <w:color w:val="auto"/>
                <w:sz w:val="22"/>
                <w:szCs w:val="21"/>
                <w:highlight w:val="none"/>
                <w:lang w:val="en-US" w:eastAsia="zh-CN"/>
              </w:rPr>
              <w:t>基本合理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预算和财务管理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预算编制完整性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专项资金细化率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预算调整率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结转结余率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default"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“三公经”控制率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r>
              <w:rPr>
                <w:rFonts w:hint="eastAsia"/>
                <w:color w:val="auto"/>
                <w:sz w:val="22"/>
                <w:szCs w:val="21"/>
                <w:highlight w:val="none"/>
                <w:lang w:val="en-US" w:eastAsia="zh-CN"/>
              </w:rPr>
              <w:t>00</w:t>
            </w:r>
            <w:r>
              <w:rPr>
                <w:rFonts w:hint="default"/>
                <w:color w:val="auto"/>
                <w:sz w:val="22"/>
                <w:szCs w:val="21"/>
                <w:highlight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政府采购执行率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≥95%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决算真实性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资金使用合规性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管理制度健全性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预决算信息公幵性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公开</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公开</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42"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资产管理规范性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绩效管理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绩效监控完成率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绩效自评完成率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部门绩效评价完成率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评价结果应用率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eastAsia="仿宋" w:asciiTheme="minorHAnsi" w:hAnsiTheme="minorHAnsi" w:cstheme="minorBidi"/>
                <w:color w:val="auto"/>
                <w:kern w:val="2"/>
                <w:sz w:val="22"/>
                <w:szCs w:val="21"/>
                <w:highlight w:val="none"/>
                <w:lang w:val="en-US" w:eastAsia="zh-CN" w:bidi="ar-SA"/>
              </w:rPr>
            </w:pPr>
            <w:r>
              <w:rPr>
                <w:rFonts w:hint="eastAsia"/>
                <w:color w:val="auto"/>
                <w:sz w:val="22"/>
                <w:szCs w:val="21"/>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000000" w:sz="4" w:space="0"/>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产出指标</w:t>
            </w: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重点工作任务完成</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重点工作1计划完成率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100</w:t>
            </w:r>
            <w:r>
              <w:rPr>
                <w:rFonts w:hint="default"/>
                <w:color w:val="auto"/>
                <w:sz w:val="22"/>
                <w:szCs w:val="21"/>
                <w:highlight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4</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重点工作2计划完成率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重点工作3计划完成率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重点工作4计划完成率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eastAsia"/>
                <w:color w:val="auto"/>
                <w:sz w:val="22"/>
                <w:szCs w:val="21"/>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eastAsia"/>
                <w:color w:val="auto"/>
                <w:sz w:val="22"/>
                <w:szCs w:val="21"/>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重点工作5计划完成率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imes New Roman" w:hAnsi="Times New Roman" w:eastAsia="仿宋" w:cstheme="minorBidi"/>
                <w:color w:val="auto"/>
                <w:kern w:val="2"/>
                <w:sz w:val="22"/>
                <w:szCs w:val="22"/>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履职目标实现</w:t>
            </w:r>
          </w:p>
        </w:tc>
        <w:tc>
          <w:tcPr>
            <w:tcW w:w="1418"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年度工作目标1实现率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4</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r>
              <w:rPr>
                <w:rFonts w:hint="eastAsia" w:ascii="仿宋" w:hAnsi="仿宋" w:eastAsia="仿宋" w:cs="仿宋"/>
                <w:sz w:val="28"/>
                <w:szCs w:val="28"/>
              </w:rPr>
              <w:t>效益指标</w:t>
            </w:r>
          </w:p>
        </w:tc>
        <w:tc>
          <w:tcPr>
            <w:tcW w:w="839" w:type="pct"/>
            <w:vMerge w:val="restart"/>
            <w:tcBorders>
              <w:top w:val="single" w:color="auto" w:sz="4" w:space="0"/>
              <w:left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履职效益</w:t>
            </w: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4"/>
                <w:szCs w:val="24"/>
                <w:highlight w:val="none"/>
              </w:rPr>
            </w:pPr>
            <w:r>
              <w:rPr>
                <w:rFonts w:hint="default" w:ascii="仿宋" w:hAnsi="仿宋" w:eastAsia="仿宋" w:cs="仿宋"/>
                <w:sz w:val="28"/>
                <w:szCs w:val="28"/>
              </w:rPr>
              <w:t>有效促进经济社会发展</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促进</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促进</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rPr>
            </w:pP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改善民生</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stheme="minorBidi"/>
                <w:color w:val="auto"/>
                <w:kern w:val="2"/>
                <w:sz w:val="22"/>
                <w:szCs w:val="21"/>
                <w:highlight w:val="none"/>
                <w:lang w:val="en-US" w:eastAsia="zh-CN" w:bidi="ar-SA"/>
              </w:rPr>
              <w:t>改善</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stheme="minorBidi"/>
                <w:color w:val="auto"/>
                <w:kern w:val="2"/>
                <w:sz w:val="22"/>
                <w:szCs w:val="21"/>
                <w:highlight w:val="none"/>
                <w:lang w:val="en-US" w:eastAsia="zh-CN" w:bidi="ar-SA"/>
              </w:rPr>
              <w:t>改善</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8</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rPr>
            </w:pP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积极进言献策</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stheme="minorBidi"/>
                <w:color w:val="auto"/>
                <w:kern w:val="2"/>
                <w:sz w:val="22"/>
                <w:szCs w:val="21"/>
                <w:highlight w:val="none"/>
                <w:lang w:val="en-US" w:eastAsia="zh-CN" w:bidi="ar-SA"/>
              </w:rPr>
              <w:t>积极</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stheme="minorBidi"/>
                <w:color w:val="auto"/>
                <w:kern w:val="2"/>
                <w:sz w:val="22"/>
                <w:szCs w:val="21"/>
                <w:highlight w:val="none"/>
                <w:lang w:val="en-US" w:eastAsia="zh-CN" w:bidi="ar-SA"/>
              </w:rPr>
              <w:t>积极</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rPr>
            </w:pPr>
          </w:p>
        </w:tc>
        <w:tc>
          <w:tcPr>
            <w:tcW w:w="839"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满意度</w:t>
            </w: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群众满意度</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w:t>
            </w:r>
            <w:r>
              <w:rPr>
                <w:rFonts w:hint="default"/>
                <w:color w:val="auto"/>
                <w:sz w:val="22"/>
                <w:szCs w:val="21"/>
                <w:highlight w:val="none"/>
                <w:lang w:val="en-US" w:eastAsia="zh-CN"/>
              </w:rPr>
              <w:t>90%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eastAsia" w:asciiTheme="minorHAnsi" w:hAnsiTheme="minorHAnsi" w:eastAsiaTheme="minorEastAsia" w:cstheme="minorBidi"/>
                <w:color w:val="auto"/>
                <w:kern w:val="2"/>
                <w:sz w:val="22"/>
                <w:szCs w:val="21"/>
                <w:highlight w:val="none"/>
                <w:lang w:val="en-US" w:eastAsia="zh-CN" w:bidi="ar-SA"/>
              </w:rPr>
            </w:pPr>
            <w:r>
              <w:rPr>
                <w:rFonts w:hint="default"/>
                <w:color w:val="auto"/>
                <w:sz w:val="22"/>
                <w:szCs w:val="21"/>
                <w:highlight w:val="none"/>
                <w:lang w:val="en-US" w:eastAsia="zh-CN"/>
              </w:rPr>
              <w:t>9</w:t>
            </w:r>
            <w:r>
              <w:rPr>
                <w:rFonts w:hint="eastAsia"/>
                <w:color w:val="auto"/>
                <w:sz w:val="22"/>
                <w:szCs w:val="21"/>
                <w:highlight w:val="none"/>
                <w:lang w:val="en-US" w:eastAsia="zh-CN"/>
              </w:rPr>
              <w:t>6</w:t>
            </w:r>
            <w:r>
              <w:rPr>
                <w:rFonts w:hint="default"/>
                <w:color w:val="auto"/>
                <w:sz w:val="22"/>
                <w:szCs w:val="21"/>
                <w:highlight w:val="none"/>
                <w:lang w:val="en-US" w:eastAsia="zh-CN"/>
              </w:rPr>
              <w:t>.00%</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default"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suppressLineNumbers w:val="0"/>
              <w:bidi w:val="0"/>
              <w:spacing w:before="0" w:beforeAutospacing="0" w:after="0" w:afterAutospacing="0"/>
              <w:ind w:left="0" w:right="0" w:firstLine="0" w:firstLineChars="0"/>
              <w:rPr>
                <w:rFonts w:hint="default" w:asciiTheme="minorHAnsi" w:hAnsiTheme="minorHAnsi" w:eastAsiaTheme="minorEastAsia" w:cstheme="minorBidi"/>
                <w:color w:val="auto"/>
                <w:kern w:val="2"/>
                <w:sz w:val="22"/>
                <w:szCs w:val="21"/>
                <w:highlight w:val="none"/>
                <w:lang w:val="en-US" w:eastAsia="zh-CN" w:bidi="ar-SA"/>
              </w:rPr>
            </w:pPr>
            <w:r>
              <w:rPr>
                <w:rFonts w:hint="eastAsia"/>
                <w:color w:val="auto"/>
                <w:sz w:val="22"/>
                <w:szCs w:val="21"/>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2837"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合计</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8"/>
                <w:szCs w:val="28"/>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98</w:t>
            </w:r>
          </w:p>
        </w:tc>
      </w:tr>
    </w:tbl>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rPr>
      </w:pPr>
      <w:r>
        <w:rPr>
          <w:rFonts w:hint="eastAsia" w:ascii="仿宋" w:hAnsi="仿宋" w:eastAsia="仿宋" w:cs="仿宋"/>
          <w:color w:val="auto"/>
          <w:sz w:val="32"/>
          <w:szCs w:val="32"/>
        </w:rPr>
        <w:br w:type="page"/>
      </w:r>
      <w:bookmarkStart w:id="22" w:name="_Toc18202"/>
      <w:r>
        <w:rPr>
          <w:rFonts w:hint="eastAsia" w:ascii="仿宋" w:hAnsi="仿宋" w:eastAsia="仿宋" w:cs="仿宋"/>
          <w:color w:val="auto"/>
          <w:sz w:val="32"/>
          <w:szCs w:val="32"/>
        </w:rPr>
        <w:t>四、绩效目标实现情况分析</w:t>
      </w:r>
      <w:bookmarkEnd w:id="22"/>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23" w:name="_Toc10468"/>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部门资金情况分析</w:t>
      </w:r>
      <w:bookmarkEnd w:id="23"/>
    </w:p>
    <w:p>
      <w:pPr>
        <w:pStyle w:val="7"/>
        <w:pageBreakBefore w:val="0"/>
        <w:kinsoku/>
        <w:wordWrap/>
        <w:overflowPunct/>
        <w:topLinePunct w:val="0"/>
        <w:autoSpaceDE/>
        <w:autoSpaceDN/>
        <w:bidi w:val="0"/>
        <w:spacing w:line="360" w:lineRule="auto"/>
        <w:jc w:val="both"/>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1.资金到位情况与资金执行情况</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rPr>
        <w:t>我单位</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年年初预算资金</w:t>
      </w:r>
      <w:r>
        <w:rPr>
          <w:rFonts w:hint="eastAsia" w:ascii="仿宋" w:hAnsi="仿宋" w:cs="仿宋"/>
          <w:color w:val="000000" w:themeColor="text1"/>
          <w:sz w:val="32"/>
          <w:szCs w:val="32"/>
          <w:highlight w:val="none"/>
          <w:lang w:val="en-US" w:eastAsia="zh-CN"/>
        </w:rPr>
        <w:t>839.9</w:t>
      </w:r>
      <w:r>
        <w:rPr>
          <w:rFonts w:hint="eastAsia" w:ascii="仿宋" w:hAnsi="仿宋" w:eastAsia="仿宋" w:cs="仿宋"/>
          <w:color w:val="000000" w:themeColor="text1"/>
          <w:sz w:val="32"/>
          <w:szCs w:val="32"/>
          <w:highlight w:val="none"/>
        </w:rPr>
        <w:t>万元；经年中调整，增加预算资金</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万元</w:t>
      </w:r>
      <w:r>
        <w:rPr>
          <w:rFonts w:hint="eastAsia" w:ascii="仿宋" w:hAnsi="仿宋" w:eastAsia="仿宋" w:cs="仿宋"/>
          <w:color w:val="000000" w:themeColor="text1"/>
          <w:sz w:val="32"/>
          <w:szCs w:val="32"/>
          <w:highlight w:val="none"/>
          <w:lang w:eastAsia="zh-CN"/>
        </w:rPr>
        <w:t>，</w:t>
      </w:r>
      <w:r>
        <w:rPr>
          <w:rFonts w:hint="eastAsia" w:ascii="仿宋" w:hAnsi="仿宋" w:eastAsia="仿宋" w:cs="仿宋"/>
          <w:color w:val="000000" w:themeColor="text1"/>
          <w:sz w:val="32"/>
          <w:szCs w:val="32"/>
          <w:highlight w:val="none"/>
          <w:lang w:val="en-US" w:eastAsia="zh-CN"/>
        </w:rPr>
        <w:t>调减预算</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lang w:val="en-US" w:eastAsia="zh-CN"/>
        </w:rPr>
        <w:t>万元</w:t>
      </w:r>
      <w:r>
        <w:rPr>
          <w:rFonts w:hint="eastAsia" w:ascii="仿宋" w:hAnsi="仿宋" w:eastAsia="仿宋" w:cs="仿宋"/>
          <w:color w:val="000000" w:themeColor="text1"/>
          <w:sz w:val="32"/>
          <w:szCs w:val="32"/>
          <w:highlight w:val="none"/>
        </w:rPr>
        <w:t>；全年预算资金总额</w:t>
      </w:r>
      <w:r>
        <w:rPr>
          <w:rFonts w:hint="eastAsia" w:ascii="仿宋" w:hAnsi="仿宋" w:cs="仿宋"/>
          <w:color w:val="000000" w:themeColor="text1"/>
          <w:sz w:val="32"/>
          <w:szCs w:val="32"/>
          <w:highlight w:val="none"/>
          <w:lang w:val="en-US" w:eastAsia="zh-CN"/>
        </w:rPr>
        <w:t>839.9</w:t>
      </w:r>
      <w:r>
        <w:rPr>
          <w:rFonts w:hint="eastAsia" w:ascii="仿宋" w:hAnsi="仿宋" w:eastAsia="仿宋" w:cs="仿宋"/>
          <w:color w:val="000000" w:themeColor="text1"/>
          <w:sz w:val="32"/>
          <w:szCs w:val="32"/>
          <w:highlight w:val="none"/>
        </w:rPr>
        <w:t>万元。全年实际执行数为</w:t>
      </w:r>
      <w:r>
        <w:rPr>
          <w:rFonts w:hint="eastAsia" w:ascii="仿宋" w:hAnsi="仿宋" w:cs="仿宋"/>
          <w:color w:val="000000" w:themeColor="text1"/>
          <w:sz w:val="32"/>
          <w:szCs w:val="32"/>
          <w:highlight w:val="none"/>
          <w:lang w:val="en-US" w:eastAsia="zh-CN"/>
        </w:rPr>
        <w:t>839.9</w:t>
      </w:r>
      <w:r>
        <w:rPr>
          <w:rFonts w:hint="eastAsia" w:ascii="仿宋" w:hAnsi="仿宋" w:eastAsia="仿宋" w:cs="仿宋"/>
          <w:color w:val="000000" w:themeColor="text1"/>
          <w:sz w:val="32"/>
          <w:szCs w:val="32"/>
          <w:highlight w:val="none"/>
        </w:rPr>
        <w:t>万元，预算执行率为</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lang w:val="en-US" w:eastAsia="zh-CN"/>
        </w:rPr>
        <w:t>%</w:t>
      </w:r>
      <w:r>
        <w:rPr>
          <w:rFonts w:hint="eastAsia" w:ascii="仿宋" w:hAnsi="仿宋" w:eastAsia="仿宋" w:cs="仿宋"/>
          <w:color w:val="000000" w:themeColor="text1"/>
          <w:sz w:val="32"/>
          <w:szCs w:val="32"/>
          <w:highlight w:val="none"/>
        </w:rPr>
        <w:t>。具体情况详见表4-1</w:t>
      </w:r>
      <w:r>
        <w:rPr>
          <w:rFonts w:hint="eastAsia" w:ascii="仿宋" w:hAnsi="仿宋" w:eastAsia="仿宋" w:cs="仿宋"/>
          <w:color w:val="000000" w:themeColor="text1"/>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表4-1 部门资金情况分析表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决算表</w:t>
      </w:r>
      <w:r>
        <w:rPr>
          <w:rFonts w:hint="eastAsia" w:ascii="仿宋" w:hAnsi="仿宋" w:eastAsia="仿宋" w:cs="仿宋"/>
          <w:sz w:val="32"/>
          <w:szCs w:val="32"/>
          <w:highlight w:val="none"/>
          <w:lang w:eastAsia="zh-CN"/>
        </w:rPr>
        <w:t>）</w:t>
      </w:r>
    </w:p>
    <w:tbl>
      <w:tblPr>
        <w:tblStyle w:val="15"/>
        <w:tblW w:w="4999" w:type="pct"/>
        <w:jc w:val="center"/>
        <w:tblLayout w:type="autofit"/>
        <w:tblCellMar>
          <w:top w:w="0" w:type="dxa"/>
          <w:left w:w="108" w:type="dxa"/>
          <w:bottom w:w="0" w:type="dxa"/>
          <w:right w:w="108" w:type="dxa"/>
        </w:tblCellMar>
      </w:tblPr>
      <w:tblGrid>
        <w:gridCol w:w="4183"/>
        <w:gridCol w:w="910"/>
        <w:gridCol w:w="4227"/>
        <w:gridCol w:w="814"/>
        <w:gridCol w:w="3223"/>
        <w:gridCol w:w="814"/>
      </w:tblGrid>
      <w:tr>
        <w:tblPrEx>
          <w:tblCellMar>
            <w:top w:w="0" w:type="dxa"/>
            <w:left w:w="108" w:type="dxa"/>
            <w:bottom w:w="0" w:type="dxa"/>
            <w:right w:w="108" w:type="dxa"/>
          </w:tblCellMar>
        </w:tblPrEx>
        <w:trPr>
          <w:trHeight w:val="404" w:hRule="atLeast"/>
          <w:jc w:val="center"/>
        </w:trPr>
        <w:tc>
          <w:tcPr>
            <w:tcW w:w="17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收入</w:t>
            </w:r>
          </w:p>
        </w:tc>
        <w:tc>
          <w:tcPr>
            <w:tcW w:w="320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支出</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项目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经济科目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r>
      <w:tr>
        <w:tblPrEx>
          <w:tblCellMar>
            <w:top w:w="0" w:type="dxa"/>
            <w:left w:w="108" w:type="dxa"/>
            <w:bottom w:w="0" w:type="dxa"/>
            <w:right w:w="108" w:type="dxa"/>
          </w:tblCellMar>
        </w:tblPrEx>
        <w:trPr>
          <w:trHeight w:val="50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一、一般公共预算财政拨款收入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一、一般公共服务支出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802.2</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一、基本支出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790.3</w:t>
            </w:r>
          </w:p>
        </w:tc>
      </w:tr>
      <w:tr>
        <w:tblPrEx>
          <w:tblCellMar>
            <w:top w:w="0" w:type="dxa"/>
            <w:left w:w="108" w:type="dxa"/>
            <w:bottom w:w="0" w:type="dxa"/>
            <w:right w:w="108" w:type="dxa"/>
          </w:tblCellMar>
        </w:tblPrEx>
        <w:trPr>
          <w:trHeight w:val="32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二、政府性基金预算财政拨款收入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二、外交支出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人员经费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299.6</w:t>
            </w:r>
          </w:p>
        </w:tc>
      </w:tr>
      <w:tr>
        <w:tblPrEx>
          <w:tblCellMar>
            <w:top w:w="0" w:type="dxa"/>
            <w:left w:w="108" w:type="dxa"/>
            <w:bottom w:w="0" w:type="dxa"/>
            <w:right w:w="108" w:type="dxa"/>
          </w:tblCellMar>
        </w:tblPrEx>
        <w:trPr>
          <w:trHeight w:val="9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三、国有资本经营预算财政拨款收入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三、国防支出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公用经费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490.7</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四、上级补助收入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四、公共安全支出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二、项目支出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五、事业收入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五、教育支出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其中：基本建设类项目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六、经营收入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六、科学技术支出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三、上缴上级支出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七、附属单位上缴收入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七、文化旅游体育与传媒支出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四、经营支出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八、其他收入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八、社会保障和就业支出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26.5</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五、对附属单位补助支出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九、卫生健康支出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11.2</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十、节能环保支出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十一、城乡社区支出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经济分类支出合计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十二、农林水支出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一、工资福利支出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287.6</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十三、交通运输支出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二、商品和服务支出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540.3</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十四、资源勘探工业信息等支出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三、对个人和家庭的补助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12</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十五、商业服务业等支出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四、债务利息及费用支出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十六、金融支出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五、资本性支出（基本建设）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十七、援助其他地区支出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六、资本性支出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十八、自然资源海洋气象等支出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七、对企业补助（基本建设）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十九、住房保障支出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八、对企业补助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二十、粮油物资储备支出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九、对社会保障基金补助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二十一、国有资本经营预算支出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十、其他支出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二十二、灾害防治及应急管理支出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二十三、其他支出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二十四、债务还本支出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二十五、债务付息支出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本年收入合计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本年支出合计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使用非财政拨款结余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结余分配</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年初结转和结余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年末结转和结余</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总计</w:t>
            </w:r>
            <w:r>
              <w:rPr>
                <w:rFonts w:hint="eastAsia" w:ascii="仿宋" w:hAnsi="仿宋" w:eastAsia="仿宋" w:cs="仿宋"/>
                <w:sz w:val="20"/>
                <w:szCs w:val="20"/>
                <w:highlight w:val="none"/>
                <w:lang w:eastAsia="zh-CN"/>
              </w:rPr>
              <w:t>：</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0"/>
                <w:szCs w:val="20"/>
                <w:highlight w:val="none"/>
              </w:rPr>
            </w:pPr>
            <w:r>
              <w:rPr>
                <w:rFonts w:hint="eastAsia" w:ascii="仿宋" w:hAnsi="仿宋" w:eastAsia="仿宋" w:cs="仿宋"/>
                <w:sz w:val="20"/>
                <w:szCs w:val="20"/>
                <w:highlight w:val="none"/>
              </w:rPr>
              <w:t>总计：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839.9</w:t>
            </w:r>
          </w:p>
        </w:tc>
      </w:tr>
    </w:tbl>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7"/>
        <w:pageBreakBefore w:val="0"/>
        <w:kinsoku/>
        <w:wordWrap/>
        <w:overflowPunct/>
        <w:topLinePunct w:val="0"/>
        <w:autoSpaceDE/>
        <w:autoSpaceDN/>
        <w:bidi w:val="0"/>
        <w:spacing w:line="360" w:lineRule="auto"/>
        <w:jc w:val="both"/>
        <w:rPr>
          <w:rFonts w:hint="eastAsia" w:ascii="仿宋" w:hAnsi="仿宋" w:eastAsia="仿宋" w:cs="仿宋"/>
          <w:b/>
          <w:bCs/>
          <w:sz w:val="32"/>
          <w:szCs w:val="32"/>
        </w:rPr>
      </w:pPr>
      <w:r>
        <w:rPr>
          <w:rFonts w:hint="eastAsia" w:ascii="仿宋" w:hAnsi="仿宋" w:eastAsia="仿宋" w:cs="仿宋"/>
          <w:b/>
          <w:bCs/>
          <w:sz w:val="32"/>
          <w:szCs w:val="32"/>
        </w:rPr>
        <w:t>2.资金管理情况</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我单位参照相关国家法律法规，在《内部控制基本制度》中制定了财务管理、资产管理</w:t>
      </w:r>
      <w:r>
        <w:rPr>
          <w:rFonts w:hint="eastAsia" w:ascii="仿宋" w:hAnsi="仿宋" w:eastAsia="仿宋" w:cs="仿宋"/>
          <w:sz w:val="32"/>
          <w:szCs w:val="32"/>
          <w:lang w:val="en-US" w:eastAsia="zh-CN"/>
        </w:rPr>
        <w:t>等</w:t>
      </w:r>
      <w:r>
        <w:rPr>
          <w:rFonts w:hint="eastAsia" w:ascii="仿宋" w:hAnsi="仿宋" w:eastAsia="仿宋" w:cs="仿宋"/>
          <w:sz w:val="32"/>
          <w:szCs w:val="32"/>
        </w:rPr>
        <w:t>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24" w:name="_Toc3607"/>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bookmarkEnd w:id="24"/>
    </w:p>
    <w:p>
      <w:pPr>
        <w:pStyle w:val="7"/>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1.投入管理指标完成情况分析</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（1）工作目标管理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①年度履职目标相关性，指标2分，得2分。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我单位结合部门年初工作要点，制定了</w:t>
      </w:r>
      <w:r>
        <w:rPr>
          <w:rFonts w:hint="eastAsia" w:ascii="仿宋" w:hAnsi="仿宋" w:eastAsia="仿宋" w:cs="仿宋"/>
          <w:sz w:val="32"/>
          <w:szCs w:val="32"/>
          <w:highlight w:val="none"/>
          <w:lang w:val="en-US" w:eastAsia="zh-CN"/>
        </w:rPr>
        <w:t>年度</w:t>
      </w:r>
      <w:r>
        <w:rPr>
          <w:rFonts w:hint="eastAsia" w:ascii="仿宋" w:hAnsi="仿宋" w:eastAsia="仿宋" w:cs="仿宋"/>
          <w:sz w:val="32"/>
          <w:szCs w:val="32"/>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②工作任务科学性，指标2分，得2分。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我单位根据</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文件要求，制定了</w:t>
      </w:r>
      <w:r>
        <w:rPr>
          <w:rFonts w:hint="eastAsia" w:ascii="仿宋" w:hAnsi="仿宋" w:cs="仿宋"/>
          <w:sz w:val="32"/>
          <w:szCs w:val="32"/>
          <w:highlight w:val="none"/>
          <w:lang w:val="en-US" w:eastAsia="zh-CN"/>
        </w:rPr>
        <w:t>5</w:t>
      </w:r>
      <w:r>
        <w:rPr>
          <w:rFonts w:hint="eastAsia" w:ascii="仿宋" w:hAnsi="仿宋" w:eastAsia="仿宋" w:cs="仿宋"/>
          <w:sz w:val="32"/>
          <w:szCs w:val="32"/>
          <w:highlight w:val="none"/>
        </w:rPr>
        <w:t>项主要工作任务，有明确的绩效目标，工作任务对应的预算项目有明确的绩效目标，绩效目标与部门职责目标、工作任务目标一致，能体现预算项目的产出和效果。</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③绩效指标合理性，指标2分，得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（2）预算和财务管理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①预算编制完整性，指标2分，得2分。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年预算编制按照历史金额作为编制依据，部门所有收入全部纳入部门预算，部门支出预算是统筹各类资金来源，全部纳入部门预算管理，预算编制明细到各类项，预算编制完整。</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②专项资金细化率，指标2分，得2分。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年的专项资金均已细化至各三级项目，专项资金细化率为100%。</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③预算调整率，指标2分，得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年我单位年初预算</w:t>
      </w:r>
      <w:r>
        <w:rPr>
          <w:rFonts w:hint="eastAsia" w:ascii="仿宋" w:hAnsi="仿宋" w:cs="仿宋"/>
          <w:sz w:val="32"/>
          <w:szCs w:val="32"/>
          <w:highlight w:val="none"/>
          <w:lang w:val="en-US" w:eastAsia="zh-CN"/>
        </w:rPr>
        <w:t>839.9</w:t>
      </w:r>
      <w:r>
        <w:rPr>
          <w:rFonts w:hint="eastAsia" w:ascii="仿宋" w:hAnsi="仿宋" w:eastAsia="仿宋" w:cs="仿宋"/>
          <w:sz w:val="32"/>
          <w:szCs w:val="32"/>
          <w:highlight w:val="none"/>
        </w:rPr>
        <w:t>万元，全年总预算</w:t>
      </w:r>
      <w:r>
        <w:rPr>
          <w:rFonts w:hint="eastAsia" w:ascii="仿宋" w:hAnsi="仿宋" w:cs="仿宋"/>
          <w:sz w:val="32"/>
          <w:szCs w:val="32"/>
          <w:highlight w:val="none"/>
          <w:lang w:val="en-US" w:eastAsia="zh-CN"/>
        </w:rPr>
        <w:t>839.9</w:t>
      </w:r>
      <w:r>
        <w:rPr>
          <w:rFonts w:hint="eastAsia" w:ascii="仿宋" w:hAnsi="仿宋" w:eastAsia="仿宋" w:cs="仿宋"/>
          <w:sz w:val="32"/>
          <w:szCs w:val="32"/>
          <w:highlight w:val="none"/>
        </w:rPr>
        <w:t>万元。</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④结转结余率，指标</w:t>
      </w:r>
      <w:r>
        <w:rPr>
          <w:rFonts w:hint="eastAsia" w:ascii="仿宋" w:hAnsi="仿宋" w:eastAsia="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分，得</w:t>
      </w:r>
      <w:r>
        <w:rPr>
          <w:rFonts w:hint="eastAsia" w:ascii="仿宋" w:hAnsi="仿宋" w:eastAsia="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年我单位全年总预算</w:t>
      </w:r>
      <w:r>
        <w:rPr>
          <w:rFonts w:hint="eastAsia" w:ascii="仿宋" w:hAnsi="仿宋" w:cs="仿宋"/>
          <w:color w:val="000000" w:themeColor="text1"/>
          <w:sz w:val="32"/>
          <w:szCs w:val="32"/>
          <w:highlight w:val="none"/>
          <w:lang w:val="en-US" w:eastAsia="zh-CN"/>
        </w:rPr>
        <w:t>839.9</w:t>
      </w:r>
      <w:r>
        <w:rPr>
          <w:rFonts w:hint="eastAsia" w:ascii="仿宋" w:hAnsi="仿宋" w:eastAsia="仿宋" w:cs="仿宋"/>
          <w:color w:val="000000" w:themeColor="text1"/>
          <w:sz w:val="32"/>
          <w:szCs w:val="32"/>
          <w:highlight w:val="none"/>
        </w:rPr>
        <w:t>万元，年底结余</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万元，结转结余率</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⑤“三公经费”控制率，指标1分，得1分。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我单位</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年三公预算数</w:t>
      </w:r>
      <w:r>
        <w:rPr>
          <w:rFonts w:hint="eastAsia" w:ascii="仿宋" w:hAnsi="仿宋" w:cs="仿宋"/>
          <w:color w:val="000000" w:themeColor="text1"/>
          <w:sz w:val="32"/>
          <w:szCs w:val="32"/>
          <w:highlight w:val="none"/>
          <w:lang w:val="en-US" w:eastAsia="zh-CN"/>
        </w:rPr>
        <w:t>16.7万</w:t>
      </w:r>
      <w:r>
        <w:rPr>
          <w:rFonts w:hint="eastAsia" w:ascii="仿宋" w:hAnsi="仿宋" w:eastAsia="仿宋" w:cs="仿宋"/>
          <w:color w:val="000000" w:themeColor="text1"/>
          <w:sz w:val="32"/>
          <w:szCs w:val="32"/>
          <w:highlight w:val="none"/>
        </w:rPr>
        <w:t>元，</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年三公经费执行数</w:t>
      </w:r>
      <w:r>
        <w:rPr>
          <w:rFonts w:hint="eastAsia" w:ascii="仿宋" w:hAnsi="仿宋" w:cs="仿宋"/>
          <w:color w:val="000000" w:themeColor="text1"/>
          <w:sz w:val="32"/>
          <w:szCs w:val="32"/>
          <w:highlight w:val="none"/>
          <w:lang w:val="en-US" w:eastAsia="zh-CN"/>
        </w:rPr>
        <w:t>14万</w:t>
      </w:r>
      <w:r>
        <w:rPr>
          <w:rFonts w:hint="eastAsia" w:ascii="仿宋" w:hAnsi="仿宋" w:eastAsia="仿宋" w:cs="仿宋"/>
          <w:color w:val="000000" w:themeColor="text1"/>
          <w:sz w:val="32"/>
          <w:szCs w:val="32"/>
          <w:highlight w:val="none"/>
        </w:rPr>
        <w:t>元，控制率</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⑥政府采购执行率，指标1分，得1分。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我单位</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年计划采购项目</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项。</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⑦决算真实性，指标1分，得1分。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我</w:t>
      </w:r>
      <w:r>
        <w:rPr>
          <w:rFonts w:hint="eastAsia" w:ascii="仿宋" w:hAnsi="仿宋" w:eastAsia="仿宋" w:cs="仿宋"/>
          <w:sz w:val="32"/>
          <w:szCs w:val="32"/>
          <w:highlight w:val="none"/>
        </w:rPr>
        <w:t>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年决算编制数据</w:t>
      </w:r>
      <w:r>
        <w:rPr>
          <w:rFonts w:hint="eastAsia" w:ascii="仿宋" w:hAnsi="仿宋" w:eastAsia="仿宋" w:cs="仿宋"/>
          <w:sz w:val="32"/>
          <w:szCs w:val="32"/>
        </w:rPr>
        <w:t>真实，决算报表数据与会计账簿数据一致。</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yellow"/>
        </w:rPr>
      </w:pPr>
      <w:r>
        <w:rPr>
          <w:rFonts w:hint="eastAsia" w:ascii="仿宋" w:hAnsi="仿宋" w:eastAsia="仿宋" w:cs="仿宋"/>
          <w:sz w:val="32"/>
          <w:szCs w:val="32"/>
        </w:rPr>
        <w:t>⑧资金使用</w:t>
      </w:r>
      <w:r>
        <w:rPr>
          <w:rFonts w:hint="eastAsia" w:ascii="仿宋" w:hAnsi="仿宋" w:eastAsia="仿宋" w:cs="仿宋"/>
          <w:sz w:val="32"/>
          <w:szCs w:val="32"/>
          <w:highlight w:val="none"/>
        </w:rPr>
        <w:t>合规性，指标2分，得2分。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rPr>
        <w:t>我单位参照相关国家法律法规，在《内部控制基本制度》中制定了财务管理、资产管理</w:t>
      </w:r>
      <w:r>
        <w:rPr>
          <w:rFonts w:hint="eastAsia" w:ascii="仿宋" w:hAnsi="仿宋" w:eastAsia="仿宋" w:cs="仿宋"/>
          <w:sz w:val="32"/>
          <w:szCs w:val="32"/>
          <w:lang w:val="en-US" w:eastAsia="zh-CN"/>
        </w:rPr>
        <w:t>等</w:t>
      </w:r>
      <w:r>
        <w:rPr>
          <w:rFonts w:hint="eastAsia" w:ascii="仿宋" w:hAnsi="仿宋" w:eastAsia="仿宋" w:cs="仿宋"/>
          <w:sz w:val="32"/>
          <w:szCs w:val="32"/>
        </w:rPr>
        <w:t>相关管理办法，且针对专项资金制定了《专项资金管理办法》，《办法》符合国家财经法规</w:t>
      </w:r>
      <w:r>
        <w:rPr>
          <w:rFonts w:hint="eastAsia" w:ascii="仿宋" w:hAnsi="仿宋" w:eastAsia="仿宋" w:cs="仿宋"/>
          <w:sz w:val="32"/>
          <w:szCs w:val="32"/>
          <w:lang w:eastAsia="zh-CN"/>
        </w:rPr>
        <w:t>、</w:t>
      </w:r>
      <w:r>
        <w:rPr>
          <w:rFonts w:hint="eastAsia" w:ascii="仿宋" w:hAnsi="仿宋" w:eastAsia="仿宋" w:cs="仿宋"/>
          <w:sz w:val="32"/>
          <w:szCs w:val="32"/>
        </w:rPr>
        <w:t>财务法规和财务管理制度以及有关专项资金管理办法的规定；资金的拨付有完整的审批程序和</w:t>
      </w:r>
      <w:r>
        <w:rPr>
          <w:rFonts w:hint="eastAsia" w:ascii="仿宋" w:hAnsi="仿宋" w:eastAsia="仿宋" w:cs="仿宋"/>
          <w:sz w:val="32"/>
          <w:szCs w:val="32"/>
          <w:highlight w:val="none"/>
        </w:rPr>
        <w:t>手续；项目的重大开支需经过评估论证；符合部门预算批复的用途；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w:t>
      </w:r>
      <w:r>
        <w:rPr>
          <w:rFonts w:hint="eastAsia" w:ascii="仿宋" w:hAnsi="仿宋" w:eastAsia="仿宋" w:cs="仿宋"/>
          <w:sz w:val="32"/>
          <w:szCs w:val="32"/>
        </w:rPr>
        <w:t>度资金不存在截留支出情况；不存在挤占支出情况；不存在挪用支</w:t>
      </w:r>
      <w:r>
        <w:rPr>
          <w:rFonts w:hint="eastAsia" w:ascii="仿宋" w:hAnsi="仿宋" w:eastAsia="仿宋" w:cs="仿宋"/>
          <w:sz w:val="32"/>
          <w:szCs w:val="32"/>
          <w:highlight w:val="none"/>
        </w:rPr>
        <w:t>出情况；不存在虚列支出情况。</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⑨管理制度健全性，指标1分，得1分。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我单位根据相关</w:t>
      </w:r>
      <w:r>
        <w:rPr>
          <w:rFonts w:hint="eastAsia" w:ascii="仿宋" w:hAnsi="仿宋" w:eastAsia="仿宋" w:cs="仿宋"/>
          <w:sz w:val="32"/>
          <w:szCs w:val="32"/>
          <w:highlight w:val="none"/>
          <w:lang w:val="en-US" w:eastAsia="zh-CN"/>
        </w:rPr>
        <w:t>法</w:t>
      </w:r>
      <w:r>
        <w:rPr>
          <w:rFonts w:hint="eastAsia" w:ascii="仿宋" w:hAnsi="仿宋" w:eastAsia="仿宋" w:cs="仿宋"/>
          <w:sz w:val="32"/>
          <w:szCs w:val="32"/>
          <w:highlight w:val="none"/>
        </w:rPr>
        <w:t>律法规制度，制定了《专项资金管理办法》和完整的内控制度，且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年我单位均未发生资金支出、工作执行方面的违规情况，管理制度有效。</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⑩预决算信息公开性，指标1分，得1分。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yellow"/>
        </w:rPr>
      </w:pPr>
      <w:r>
        <w:rPr>
          <w:rFonts w:hint="eastAsia" w:ascii="仿宋" w:hAnsi="仿宋" w:eastAsia="仿宋" w:cs="仿宋"/>
          <w:sz w:val="32"/>
          <w:szCs w:val="32"/>
          <w:highlight w:val="none"/>
        </w:rPr>
        <w:t>我单位认真落实《中华人民共和国政府信息公开条例》，按照政府信息“公开是原则，不公开是例外”的要求，做到“应公开，尽公开”，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年预算信息已在“</w:t>
      </w:r>
      <w:r>
        <w:rPr>
          <w:rFonts w:hint="eastAsia" w:ascii="仿宋" w:hAnsi="仿宋" w:cs="仿宋"/>
          <w:sz w:val="32"/>
          <w:szCs w:val="32"/>
          <w:highlight w:val="none"/>
          <w:lang w:val="en-US" w:eastAsia="zh-CN"/>
        </w:rPr>
        <w:t>太康县人民政府</w:t>
      </w:r>
      <w:r>
        <w:rPr>
          <w:rFonts w:hint="eastAsia" w:ascii="仿宋" w:hAnsi="仿宋" w:eastAsia="仿宋" w:cs="仿宋"/>
          <w:sz w:val="32"/>
          <w:szCs w:val="32"/>
          <w:highlight w:val="none"/>
        </w:rPr>
        <w:t>官网”公开，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年决算信息待</w:t>
      </w:r>
      <w:r>
        <w:rPr>
          <w:rFonts w:hint="eastAsia" w:ascii="仿宋" w:hAnsi="仿宋" w:cs="仿宋"/>
          <w:sz w:val="32"/>
          <w:szCs w:val="32"/>
          <w:highlight w:val="none"/>
          <w:lang w:val="en-US" w:eastAsia="zh-CN"/>
        </w:rPr>
        <w:t>太康县</w:t>
      </w:r>
      <w:r>
        <w:rPr>
          <w:rFonts w:hint="eastAsia" w:ascii="仿宋" w:hAnsi="仿宋" w:eastAsia="仿宋" w:cs="仿宋"/>
          <w:sz w:val="32"/>
          <w:szCs w:val="32"/>
          <w:highlight w:val="none"/>
        </w:rPr>
        <w:t>财政局审批通过，按照要求，及时公开。</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⑪资产管理规范</w:t>
      </w:r>
      <w:r>
        <w:rPr>
          <w:rFonts w:hint="eastAsia" w:ascii="仿宋" w:hAnsi="仿宋" w:eastAsia="仿宋" w:cs="仿宋"/>
          <w:sz w:val="32"/>
          <w:szCs w:val="32"/>
          <w:highlight w:val="none"/>
        </w:rPr>
        <w:t>性，指标1分，得1分。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（3）绩效管理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①绩效监控完成率，指标2分，得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部门绩效监控完成率=已完成绩效监控项目数量/部门项目总数×100%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年度我单位共实施</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项目，应开展效监控</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项目，实际开展绩效监控</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个项目。部门绩效监控完成率为</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②绩效自评完成率，指标2分，得2分。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rPr>
        <w:t>绩效自评完成率=已完成评价项目数量/部门项目总数×100%</w:t>
      </w:r>
      <w:r>
        <w:rPr>
          <w:rFonts w:hint="eastAsia" w:ascii="仿宋" w:hAnsi="仿宋" w:eastAsia="仿宋" w:cs="仿宋"/>
          <w:color w:val="000000" w:themeColor="text1"/>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年度我单位共实施</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项目，应开展绩效自评</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项目，实际开展绩效自评</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项目。部门绩效自评完成率为</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③部门绩效评价完成率，指标2分，得0.86分。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部门绩效评价完成率=已完成评价项目数量/部门重点绩效评价项目数×100%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年度我单位应开展部门重点绩效评价</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个项目，实际开展绩效评价</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个项目</w:t>
      </w:r>
      <w:r>
        <w:rPr>
          <w:rFonts w:hint="eastAsia" w:ascii="仿宋" w:hAnsi="仿宋" w:eastAsia="仿宋" w:cs="仿宋"/>
          <w:color w:val="000000" w:themeColor="text1"/>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④评价结果应用率，指标</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评价结果应用率=评价提出的意见建议采纳数/提出的意见建议总数100%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年度我单位财政重点绩效评价未提出建议。评价结果应用率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pPr>
        <w:pStyle w:val="7"/>
        <w:pageBreakBefore w:val="0"/>
        <w:kinsoku/>
        <w:wordWrap/>
        <w:overflowPunct/>
        <w:topLinePunct w:val="0"/>
        <w:autoSpaceDE/>
        <w:autoSpaceDN/>
        <w:bidi w:val="0"/>
        <w:spacing w:line="360" w:lineRule="auto"/>
        <w:jc w:val="both"/>
        <w:rPr>
          <w:rFonts w:hint="eastAsia" w:ascii="仿宋" w:hAnsi="仿宋" w:eastAsia="仿宋" w:cs="仿宋"/>
          <w:sz w:val="32"/>
          <w:szCs w:val="32"/>
        </w:rPr>
      </w:pPr>
      <w:r>
        <w:rPr>
          <w:rFonts w:hint="eastAsia" w:ascii="仿宋" w:hAnsi="仿宋" w:eastAsia="仿宋" w:cs="仿宋"/>
          <w:sz w:val="32"/>
          <w:szCs w:val="32"/>
        </w:rPr>
        <w:t>2.产出指标完成况分析</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（1）重点工作任务完成</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①重点工作1计划完成率：</w:t>
      </w:r>
      <w:r>
        <w:rPr>
          <w:rFonts w:hint="eastAsia" w:ascii="仿宋" w:hAnsi="仿宋" w:cs="仿宋"/>
          <w:sz w:val="32"/>
          <w:szCs w:val="32"/>
          <w:highlight w:val="none"/>
          <w:lang w:eastAsia="zh-CN"/>
        </w:rPr>
        <w:t>完成</w:t>
      </w:r>
      <w:r>
        <w:rPr>
          <w:rFonts w:hint="eastAsia" w:ascii="仿宋" w:hAnsi="仿宋" w:eastAsia="仿宋" w:cs="仿宋"/>
          <w:sz w:val="32"/>
          <w:szCs w:val="32"/>
          <w:highlight w:val="none"/>
          <w:lang w:eastAsia="zh-CN"/>
        </w:rPr>
        <w:t>发扬社会主义民主，反映社会各方面的意见和要求</w:t>
      </w:r>
      <w:r>
        <w:rPr>
          <w:rFonts w:hint="eastAsia" w:ascii="仿宋" w:hAnsi="仿宋" w:cs="仿宋"/>
          <w:sz w:val="32"/>
          <w:szCs w:val="32"/>
          <w:highlight w:val="none"/>
          <w:lang w:eastAsia="zh-CN"/>
        </w:rPr>
        <w:t>的工作</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重点工作1</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②重点工作2计划完成率：</w:t>
      </w:r>
      <w:r>
        <w:rPr>
          <w:rFonts w:hint="eastAsia" w:ascii="仿宋" w:hAnsi="仿宋" w:cs="仿宋"/>
          <w:sz w:val="32"/>
          <w:szCs w:val="32"/>
          <w:highlight w:val="none"/>
          <w:lang w:eastAsia="zh-CN"/>
        </w:rPr>
        <w:t>完成为</w:t>
      </w:r>
      <w:r>
        <w:rPr>
          <w:rFonts w:hint="eastAsia" w:ascii="仿宋" w:hAnsi="仿宋" w:eastAsia="仿宋" w:cs="仿宋"/>
          <w:sz w:val="32"/>
          <w:szCs w:val="32"/>
          <w:highlight w:val="none"/>
          <w:lang w:eastAsia="zh-CN"/>
        </w:rPr>
        <w:t>参加人民政协的各民主党派、无党派爱国人士、人民团体、少数民族人士和各界爱国人士发挥作用开辟畅通的渠道，集思广益，促进国家重大决策的科学化与民主化</w:t>
      </w:r>
      <w:r>
        <w:rPr>
          <w:rFonts w:hint="eastAsia" w:ascii="仿宋" w:hAnsi="仿宋" w:cs="仿宋"/>
          <w:sz w:val="32"/>
          <w:szCs w:val="32"/>
          <w:highlight w:val="none"/>
          <w:lang w:eastAsia="zh-CN"/>
        </w:rPr>
        <w:t>的工作</w:t>
      </w:r>
      <w:r>
        <w:rPr>
          <w:rFonts w:hint="eastAsia" w:ascii="仿宋" w:hAnsi="仿宋" w:eastAsia="仿宋" w:cs="仿宋"/>
          <w:sz w:val="32"/>
          <w:szCs w:val="32"/>
          <w:highlight w:val="none"/>
        </w:rPr>
        <w:t>，指标2分，得2分。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重点工作2</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③重点工作3计划完成率：</w:t>
      </w:r>
      <w:r>
        <w:rPr>
          <w:rFonts w:hint="eastAsia" w:ascii="仿宋" w:hAnsi="仿宋" w:cs="仿宋"/>
          <w:sz w:val="32"/>
          <w:szCs w:val="32"/>
          <w:highlight w:val="none"/>
          <w:lang w:eastAsia="zh-CN"/>
        </w:rPr>
        <w:t>完成</w:t>
      </w:r>
      <w:r>
        <w:rPr>
          <w:rFonts w:hint="eastAsia" w:ascii="仿宋" w:hAnsi="仿宋" w:eastAsia="仿宋" w:cs="仿宋"/>
          <w:sz w:val="32"/>
          <w:szCs w:val="32"/>
          <w:highlight w:val="none"/>
          <w:lang w:eastAsia="zh-CN"/>
        </w:rPr>
        <w:t>监督国家机关改进工作，提高效率，克服官僚主义，反对腐败现象</w:t>
      </w:r>
      <w:r>
        <w:rPr>
          <w:rFonts w:hint="eastAsia" w:ascii="仿宋" w:hAnsi="仿宋" w:cs="仿宋"/>
          <w:sz w:val="32"/>
          <w:szCs w:val="32"/>
          <w:highlight w:val="none"/>
          <w:lang w:eastAsia="zh-CN"/>
        </w:rPr>
        <w:t>的工作</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重点工作3</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④重点工作4计划完成率：</w:t>
      </w:r>
      <w:r>
        <w:rPr>
          <w:rFonts w:hint="eastAsia" w:ascii="仿宋" w:hAnsi="仿宋" w:cs="仿宋"/>
          <w:sz w:val="32"/>
          <w:szCs w:val="32"/>
          <w:highlight w:val="none"/>
          <w:lang w:eastAsia="zh-CN"/>
        </w:rPr>
        <w:t>完成</w:t>
      </w:r>
      <w:r>
        <w:rPr>
          <w:rFonts w:hint="eastAsia" w:ascii="仿宋" w:hAnsi="仿宋" w:eastAsia="仿宋" w:cs="仿宋"/>
          <w:sz w:val="32"/>
          <w:szCs w:val="32"/>
          <w:highlight w:val="none"/>
          <w:lang w:eastAsia="zh-CN"/>
        </w:rPr>
        <w:t>推动社会主义物质文明、政治文明、精神文明建设，促进社会主义市场经济和社会生产力的发展；协调社会各方面的关系，促进各方面的相互沟通和理解，加强在共产党领导下各党派的团结合作</w:t>
      </w:r>
      <w:r>
        <w:rPr>
          <w:rFonts w:hint="eastAsia" w:ascii="仿宋" w:hAnsi="仿宋" w:eastAsia="仿宋" w:cs="仿宋"/>
          <w:sz w:val="32"/>
          <w:szCs w:val="32"/>
          <w:highlight w:val="none"/>
        </w:rPr>
        <w:t>，指标2分，得2分。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重点工作4</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⑤重点工作5计划完成率：</w:t>
      </w:r>
      <w:r>
        <w:rPr>
          <w:rFonts w:hint="eastAsia" w:ascii="仿宋" w:hAnsi="仿宋" w:cs="仿宋"/>
          <w:sz w:val="32"/>
          <w:szCs w:val="32"/>
          <w:highlight w:val="none"/>
          <w:lang w:eastAsia="zh-CN"/>
        </w:rPr>
        <w:t>完成</w:t>
      </w:r>
      <w:r>
        <w:rPr>
          <w:rFonts w:hint="eastAsia" w:ascii="仿宋" w:hAnsi="仿宋" w:eastAsia="仿宋" w:cs="仿宋"/>
          <w:sz w:val="32"/>
          <w:szCs w:val="32"/>
          <w:highlight w:val="none"/>
          <w:lang w:eastAsia="zh-CN"/>
        </w:rPr>
        <w:t>贯彻执行“和平统一、一国两制”的方针，促进祖国统一大业的实现</w:t>
      </w:r>
      <w:r>
        <w:rPr>
          <w:rFonts w:hint="eastAsia" w:ascii="仿宋" w:hAnsi="仿宋" w:eastAsia="仿宋" w:cs="仿宋"/>
          <w:sz w:val="32"/>
          <w:szCs w:val="32"/>
          <w:highlight w:val="none"/>
        </w:rPr>
        <w:t>，指标2分，得2分。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重点工作5</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年度重点工作完成情况见附件1：部门整体支出自评表</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（2）履职目标实现</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①年度工作目标1实现率：</w:t>
      </w:r>
      <w:r>
        <w:rPr>
          <w:rFonts w:hint="eastAsia" w:ascii="仿宋" w:hAnsi="仿宋" w:eastAsia="仿宋" w:cs="仿宋"/>
          <w:sz w:val="32"/>
          <w:szCs w:val="32"/>
          <w:highlight w:val="none"/>
          <w:lang w:eastAsia="zh-CN"/>
        </w:rPr>
        <w:t>政治协商和民主监督，组织参加本会的各党派、团体和各族各界人士参政议政</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年度工作目标1实现率100%</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年度工作目标完成情况见附件1：部门整体支出自评表</w:t>
      </w:r>
      <w:r>
        <w:rPr>
          <w:rFonts w:hint="eastAsia" w:ascii="仿宋" w:hAnsi="仿宋" w:eastAsia="仿宋" w:cs="仿宋"/>
          <w:sz w:val="32"/>
          <w:szCs w:val="32"/>
          <w:highlight w:val="none"/>
          <w:lang w:eastAsia="zh-CN"/>
        </w:rPr>
        <w:t>。</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3.效益指标完成情况分析</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（1）履职社会效益</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eastAsia="zh-CN"/>
        </w:rPr>
        <w:t>促进经济社会发展</w:t>
      </w:r>
      <w:r>
        <w:rPr>
          <w:rFonts w:hint="eastAsia" w:ascii="仿宋" w:hAnsi="仿宋" w:eastAsia="仿宋" w:cs="仿宋"/>
          <w:color w:val="000000" w:themeColor="text1"/>
          <w:sz w:val="32"/>
          <w:szCs w:val="32"/>
          <w:highlight w:val="none"/>
        </w:rPr>
        <w:t>，指标</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分，得</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根据实地核查与社会调查数据结果，此次社会调查共</w:t>
      </w:r>
      <w:r>
        <w:rPr>
          <w:rFonts w:hint="eastAsia" w:ascii="仿宋" w:hAnsi="仿宋" w:cs="仿宋"/>
          <w:color w:val="000000" w:themeColor="text1"/>
          <w:sz w:val="32"/>
          <w:szCs w:val="32"/>
          <w:highlight w:val="none"/>
          <w:lang w:val="en-US" w:eastAsia="zh-CN"/>
        </w:rPr>
        <w:t>50</w:t>
      </w:r>
      <w:r>
        <w:rPr>
          <w:rFonts w:hint="eastAsia" w:ascii="仿宋" w:hAnsi="仿宋" w:eastAsia="仿宋" w:cs="仿宋"/>
          <w:color w:val="000000" w:themeColor="text1"/>
          <w:sz w:val="32"/>
          <w:szCs w:val="32"/>
          <w:highlight w:val="none"/>
        </w:rPr>
        <w:t>人，</w:t>
      </w:r>
      <w:r>
        <w:rPr>
          <w:rFonts w:hint="eastAsia" w:ascii="仿宋" w:hAnsi="仿宋" w:cs="仿宋"/>
          <w:color w:val="000000" w:themeColor="text1"/>
          <w:sz w:val="32"/>
          <w:szCs w:val="32"/>
          <w:highlight w:val="none"/>
          <w:lang w:val="en-US" w:eastAsia="zh-CN"/>
        </w:rPr>
        <w:t>50</w:t>
      </w:r>
      <w:r>
        <w:rPr>
          <w:rFonts w:hint="eastAsia" w:ascii="仿宋" w:hAnsi="仿宋" w:eastAsia="仿宋" w:cs="仿宋"/>
          <w:color w:val="000000" w:themeColor="text1"/>
          <w:sz w:val="32"/>
          <w:szCs w:val="32"/>
          <w:highlight w:val="none"/>
        </w:rPr>
        <w:t>人认为非常满意和比较满意，占比</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rPr>
        <w:t>。根据评分规则，该指标得</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改善</w:t>
      </w:r>
      <w:r>
        <w:rPr>
          <w:rFonts w:hint="eastAsia" w:ascii="仿宋" w:hAnsi="仿宋" w:cs="仿宋"/>
          <w:color w:val="000000" w:themeColor="text1"/>
          <w:sz w:val="32"/>
          <w:szCs w:val="32"/>
          <w:highlight w:val="none"/>
          <w:lang w:eastAsia="zh-CN"/>
        </w:rPr>
        <w:t>民生</w:t>
      </w:r>
      <w:r>
        <w:rPr>
          <w:rFonts w:hint="eastAsia" w:ascii="仿宋" w:hAnsi="仿宋" w:eastAsia="仿宋" w:cs="仿宋"/>
          <w:color w:val="000000" w:themeColor="text1"/>
          <w:sz w:val="32"/>
          <w:szCs w:val="32"/>
          <w:highlight w:val="none"/>
        </w:rPr>
        <w:t>，指标</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分，得</w:t>
      </w:r>
      <w:r>
        <w:rPr>
          <w:rFonts w:hint="eastAsia" w:ascii="仿宋" w:hAnsi="仿宋" w:cs="仿宋"/>
          <w:color w:val="000000" w:themeColor="text1"/>
          <w:sz w:val="32"/>
          <w:szCs w:val="32"/>
          <w:highlight w:val="none"/>
          <w:lang w:val="en-US" w:eastAsia="zh-CN"/>
        </w:rPr>
        <w:t>8</w:t>
      </w:r>
      <w:r>
        <w:rPr>
          <w:rFonts w:hint="eastAsia" w:ascii="仿宋" w:hAnsi="仿宋" w:eastAsia="仿宋" w:cs="仿宋"/>
          <w:color w:val="000000" w:themeColor="text1"/>
          <w:sz w:val="32"/>
          <w:szCs w:val="32"/>
          <w:highlight w:val="none"/>
        </w:rPr>
        <w:t>分。</w:t>
      </w:r>
    </w:p>
    <w:p>
      <w:pPr>
        <w:pStyle w:val="24"/>
        <w:pageBreakBefore w:val="0"/>
        <w:kinsoku/>
        <w:wordWrap/>
        <w:overflowPunct/>
        <w:topLinePunct w:val="0"/>
        <w:autoSpaceDE/>
        <w:autoSpaceDN/>
        <w:bidi w:val="0"/>
        <w:spacing w:line="360" w:lineRule="auto"/>
        <w:rPr>
          <w:rFonts w:hint="default" w:ascii="仿宋" w:hAnsi="仿宋" w:eastAsia="仿宋" w:cs="仿宋"/>
          <w:color w:val="000000" w:themeColor="text1"/>
          <w:sz w:val="32"/>
          <w:szCs w:val="32"/>
          <w:highlight w:val="none"/>
          <w:lang w:val="en-US" w:eastAsia="zh-CN"/>
        </w:rPr>
      </w:pPr>
      <w:r>
        <w:rPr>
          <w:rFonts w:hint="eastAsia" w:ascii="仿宋" w:hAnsi="仿宋" w:cs="仿宋"/>
          <w:color w:val="000000" w:themeColor="text1"/>
          <w:sz w:val="32"/>
          <w:szCs w:val="32"/>
          <w:highlight w:val="none"/>
          <w:lang w:val="en-US" w:eastAsia="zh-CN"/>
        </w:rPr>
        <w:t>积极进言献策，指标10分，得10分。</w:t>
      </w:r>
    </w:p>
    <w:p>
      <w:pPr>
        <w:pStyle w:val="24"/>
        <w:pageBreakBefore w:val="0"/>
        <w:kinsoku/>
        <w:wordWrap/>
        <w:overflowPunct/>
        <w:topLinePunct w:val="0"/>
        <w:autoSpaceDE/>
        <w:autoSpaceDN/>
        <w:bidi w:val="0"/>
        <w:spacing w:line="360" w:lineRule="auto"/>
        <w:rPr>
          <w:rFonts w:hint="default" w:ascii="仿宋" w:hAnsi="仿宋" w:eastAsia="仿宋" w:cs="仿宋"/>
          <w:color w:val="000000" w:themeColor="text1"/>
          <w:sz w:val="32"/>
          <w:szCs w:val="32"/>
          <w:highlight w:val="none"/>
          <w:lang w:val="en-US" w:eastAsia="zh-CN"/>
        </w:rPr>
      </w:pPr>
      <w:r>
        <w:rPr>
          <w:rFonts w:hint="eastAsia" w:ascii="仿宋" w:hAnsi="仿宋" w:eastAsia="仿宋" w:cs="仿宋"/>
          <w:color w:val="000000" w:themeColor="text1"/>
          <w:sz w:val="32"/>
          <w:szCs w:val="32"/>
          <w:highlight w:val="none"/>
        </w:rPr>
        <w:t>根据实地核查与社会调查数据结果，此次社会调查共</w:t>
      </w:r>
      <w:r>
        <w:rPr>
          <w:rFonts w:hint="eastAsia" w:ascii="仿宋" w:hAnsi="仿宋" w:cs="仿宋"/>
          <w:color w:val="000000" w:themeColor="text1"/>
          <w:sz w:val="32"/>
          <w:szCs w:val="32"/>
          <w:highlight w:val="none"/>
          <w:lang w:val="en-US" w:eastAsia="zh-CN"/>
        </w:rPr>
        <w:t>50</w:t>
      </w:r>
      <w:r>
        <w:rPr>
          <w:rFonts w:hint="eastAsia" w:ascii="仿宋" w:hAnsi="仿宋" w:eastAsia="仿宋" w:cs="仿宋"/>
          <w:color w:val="000000" w:themeColor="text1"/>
          <w:sz w:val="32"/>
          <w:szCs w:val="32"/>
          <w:highlight w:val="none"/>
        </w:rPr>
        <w:t>人，</w:t>
      </w:r>
      <w:r>
        <w:rPr>
          <w:rFonts w:hint="eastAsia" w:ascii="仿宋" w:hAnsi="仿宋" w:cs="仿宋"/>
          <w:color w:val="000000" w:themeColor="text1"/>
          <w:sz w:val="32"/>
          <w:szCs w:val="32"/>
          <w:highlight w:val="none"/>
          <w:lang w:val="en-US" w:eastAsia="zh-CN"/>
        </w:rPr>
        <w:t>47</w:t>
      </w:r>
      <w:r>
        <w:rPr>
          <w:rFonts w:hint="eastAsia" w:ascii="仿宋" w:hAnsi="仿宋" w:eastAsia="仿宋" w:cs="仿宋"/>
          <w:color w:val="000000" w:themeColor="text1"/>
          <w:sz w:val="32"/>
          <w:szCs w:val="32"/>
          <w:highlight w:val="none"/>
        </w:rPr>
        <w:t>人认为非常满意和比较满意，占比</w:t>
      </w:r>
      <w:r>
        <w:rPr>
          <w:rFonts w:hint="eastAsia" w:ascii="仿宋" w:hAnsi="仿宋" w:cs="仿宋"/>
          <w:color w:val="000000" w:themeColor="text1"/>
          <w:sz w:val="32"/>
          <w:szCs w:val="32"/>
          <w:highlight w:val="none"/>
          <w:lang w:val="en-US" w:eastAsia="zh-CN"/>
        </w:rPr>
        <w:t>94</w:t>
      </w:r>
      <w:r>
        <w:rPr>
          <w:rFonts w:hint="eastAsia" w:ascii="仿宋" w:hAnsi="仿宋" w:eastAsia="仿宋" w:cs="仿宋"/>
          <w:color w:val="000000" w:themeColor="text1"/>
          <w:sz w:val="32"/>
          <w:szCs w:val="32"/>
          <w:highlight w:val="none"/>
        </w:rPr>
        <w:t>%。根据评分规则，该指标得8分。</w:t>
      </w:r>
      <w:r>
        <w:rPr>
          <w:rFonts w:hint="eastAsia" w:ascii="仿宋" w:hAnsi="仿宋" w:cs="仿宋"/>
          <w:color w:val="000000" w:themeColor="text1"/>
          <w:sz w:val="32"/>
          <w:szCs w:val="32"/>
          <w:highlight w:val="none"/>
          <w:lang w:val="en-US" w:eastAsia="zh-CN"/>
        </w:rPr>
        <w:t xml:space="preserve">                                                                                                                                                                                                                                                                                                                                                                                                                                                                                                                                                                                                                                   </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lang w:val="en-US" w:eastAsia="zh-CN"/>
        </w:rPr>
        <w:t>4</w:t>
      </w:r>
      <w:r>
        <w:rPr>
          <w:rFonts w:hint="eastAsia" w:ascii="仿宋" w:hAnsi="仿宋" w:eastAsia="仿宋" w:cs="仿宋"/>
          <w:color w:val="000000" w:themeColor="text1"/>
          <w:sz w:val="32"/>
          <w:szCs w:val="32"/>
          <w:highlight w:val="none"/>
        </w:rPr>
        <w:t>）满意度</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val="en-US" w:eastAsia="zh-CN"/>
        </w:rPr>
        <w:t>群众</w:t>
      </w:r>
      <w:r>
        <w:rPr>
          <w:rFonts w:hint="eastAsia" w:ascii="仿宋" w:hAnsi="仿宋" w:eastAsia="仿宋" w:cs="仿宋"/>
          <w:color w:val="000000" w:themeColor="text1"/>
          <w:sz w:val="32"/>
          <w:szCs w:val="32"/>
          <w:highlight w:val="none"/>
        </w:rPr>
        <w:t>满意度，指标10分，得10分。</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val="en-US" w:eastAsia="zh-CN"/>
        </w:rPr>
        <w:t>群众</w:t>
      </w:r>
      <w:r>
        <w:rPr>
          <w:rFonts w:hint="eastAsia" w:ascii="仿宋" w:hAnsi="仿宋" w:eastAsia="仿宋" w:cs="仿宋"/>
          <w:color w:val="000000" w:themeColor="text1"/>
          <w:sz w:val="32"/>
          <w:szCs w:val="32"/>
          <w:highlight w:val="none"/>
        </w:rPr>
        <w:t>满意度问卷共发放</w:t>
      </w:r>
      <w:r>
        <w:rPr>
          <w:rFonts w:hint="eastAsia" w:ascii="仿宋" w:hAnsi="仿宋" w:cs="仿宋"/>
          <w:color w:val="000000" w:themeColor="text1"/>
          <w:sz w:val="32"/>
          <w:szCs w:val="32"/>
          <w:highlight w:val="none"/>
          <w:lang w:val="en-US" w:eastAsia="zh-CN"/>
        </w:rPr>
        <w:t>33</w:t>
      </w:r>
      <w:r>
        <w:rPr>
          <w:rFonts w:hint="eastAsia" w:ascii="仿宋" w:hAnsi="仿宋" w:eastAsia="仿宋" w:cs="仿宋"/>
          <w:color w:val="000000" w:themeColor="text1"/>
          <w:sz w:val="32"/>
          <w:szCs w:val="32"/>
          <w:highlight w:val="none"/>
        </w:rPr>
        <w:t>份，回收问卷</w:t>
      </w:r>
      <w:r>
        <w:rPr>
          <w:rFonts w:hint="eastAsia" w:ascii="仿宋" w:hAnsi="仿宋" w:cs="仿宋"/>
          <w:color w:val="000000" w:themeColor="text1"/>
          <w:sz w:val="32"/>
          <w:szCs w:val="32"/>
          <w:highlight w:val="none"/>
          <w:lang w:val="en-US" w:eastAsia="zh-CN"/>
        </w:rPr>
        <w:t>33</w:t>
      </w:r>
      <w:r>
        <w:rPr>
          <w:rFonts w:hint="eastAsia" w:ascii="仿宋" w:hAnsi="仿宋" w:eastAsia="仿宋" w:cs="仿宋"/>
          <w:color w:val="000000" w:themeColor="text1"/>
          <w:sz w:val="32"/>
          <w:szCs w:val="32"/>
          <w:highlight w:val="none"/>
        </w:rPr>
        <w:t>份，其中有效问卷</w:t>
      </w:r>
      <w:r>
        <w:rPr>
          <w:rFonts w:hint="eastAsia" w:ascii="仿宋" w:hAnsi="仿宋" w:cs="仿宋"/>
          <w:color w:val="000000" w:themeColor="text1"/>
          <w:sz w:val="32"/>
          <w:szCs w:val="32"/>
          <w:highlight w:val="none"/>
          <w:lang w:val="en-US" w:eastAsia="zh-CN"/>
        </w:rPr>
        <w:t>33</w:t>
      </w:r>
      <w:r>
        <w:rPr>
          <w:rFonts w:hint="eastAsia" w:ascii="仿宋" w:hAnsi="仿宋" w:eastAsia="仿宋" w:cs="仿宋"/>
          <w:color w:val="000000" w:themeColor="text1"/>
          <w:sz w:val="32"/>
          <w:szCs w:val="32"/>
          <w:highlight w:val="none"/>
        </w:rPr>
        <w:t>份，问卷有效率100%。</w:t>
      </w:r>
    </w:p>
    <w:p>
      <w:pPr>
        <w:pStyle w:val="24"/>
        <w:pageBreakBefore w:val="0"/>
        <w:kinsoku/>
        <w:wordWrap/>
        <w:overflowPunct/>
        <w:topLinePunct w:val="0"/>
        <w:autoSpaceDE/>
        <w:autoSpaceDN/>
        <w:bidi w:val="0"/>
        <w:spacing w:line="360" w:lineRule="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据统</w:t>
      </w:r>
      <w:r>
        <w:rPr>
          <w:rFonts w:hint="eastAsia" w:ascii="仿宋" w:hAnsi="仿宋" w:eastAsia="仿宋" w:cs="仿宋"/>
          <w:color w:val="000000" w:themeColor="text1"/>
          <w:sz w:val="32"/>
          <w:szCs w:val="32"/>
          <w:highlight w:val="none"/>
          <w:lang w:val="en-US" w:eastAsia="zh-CN"/>
        </w:rPr>
        <w:t>计</w:t>
      </w:r>
      <w:r>
        <w:rPr>
          <w:rFonts w:hint="eastAsia" w:ascii="仿宋" w:hAnsi="仿宋" w:cs="仿宋"/>
          <w:color w:val="000000" w:themeColor="text1"/>
          <w:sz w:val="32"/>
          <w:szCs w:val="32"/>
          <w:highlight w:val="none"/>
          <w:lang w:val="en-US" w:eastAsia="zh-CN"/>
        </w:rPr>
        <w:t>群众</w:t>
      </w:r>
      <w:r>
        <w:rPr>
          <w:rFonts w:hint="eastAsia" w:ascii="仿宋" w:hAnsi="仿宋" w:eastAsia="仿宋" w:cs="仿宋"/>
          <w:color w:val="000000" w:themeColor="text1"/>
          <w:sz w:val="32"/>
          <w:szCs w:val="32"/>
          <w:highlight w:val="none"/>
        </w:rPr>
        <w:t>总体满意度为</w:t>
      </w:r>
      <w:r>
        <w:rPr>
          <w:rFonts w:hint="eastAsia" w:ascii="仿宋" w:hAnsi="仿宋" w:cs="仿宋"/>
          <w:color w:val="000000" w:themeColor="text1"/>
          <w:sz w:val="32"/>
          <w:szCs w:val="32"/>
          <w:highlight w:val="none"/>
          <w:lang w:val="en-US" w:eastAsia="zh-CN"/>
        </w:rPr>
        <w:t>96%</w:t>
      </w:r>
      <w:r>
        <w:rPr>
          <w:rFonts w:hint="eastAsia" w:ascii="仿宋" w:hAnsi="仿宋" w:eastAsia="仿宋" w:cs="仿宋"/>
          <w:color w:val="000000" w:themeColor="text1"/>
          <w:sz w:val="32"/>
          <w:szCs w:val="32"/>
          <w:highlight w:val="none"/>
        </w:rPr>
        <w:t>，根据评分规则，该指标得10分。</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rPr>
      </w:pPr>
      <w:bookmarkStart w:id="25" w:name="_Toc22457"/>
      <w:r>
        <w:rPr>
          <w:rFonts w:hint="eastAsia" w:ascii="仿宋" w:hAnsi="仿宋" w:eastAsia="仿宋" w:cs="仿宋"/>
          <w:color w:val="auto"/>
          <w:sz w:val="32"/>
          <w:szCs w:val="32"/>
        </w:rPr>
        <w:t>五、发现的主要问题和改进措施</w:t>
      </w:r>
      <w:bookmarkEnd w:id="25"/>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通过本次绩效自评，我单位在预算支出管理方面还存在以下几方面</w:t>
      </w:r>
      <w:r>
        <w:rPr>
          <w:rFonts w:hint="eastAsia" w:ascii="仿宋" w:hAnsi="仿宋" w:eastAsia="仿宋" w:cs="仿宋"/>
          <w:sz w:val="32"/>
          <w:szCs w:val="32"/>
          <w:lang w:val="en-US" w:eastAsia="zh-CN"/>
        </w:rPr>
        <w:t>的</w:t>
      </w:r>
      <w:r>
        <w:rPr>
          <w:rFonts w:hint="eastAsia" w:ascii="仿宋" w:hAnsi="仿宋" w:eastAsia="仿宋" w:cs="仿宋"/>
          <w:sz w:val="32"/>
          <w:szCs w:val="32"/>
        </w:rPr>
        <w:t>问题：</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26" w:name="_Toc1104"/>
      <w:r>
        <w:rPr>
          <w:rFonts w:hint="eastAsia" w:ascii="仿宋" w:hAnsi="仿宋" w:eastAsia="仿宋" w:cs="仿宋"/>
          <w:sz w:val="32"/>
          <w:szCs w:val="32"/>
        </w:rPr>
        <w:t>（一）发现的主要问题</w:t>
      </w:r>
      <w:bookmarkEnd w:id="26"/>
    </w:p>
    <w:p>
      <w:pPr>
        <w:ind w:firstLine="640" w:firstLineChars="200"/>
        <w:rPr>
          <w:rFonts w:hint="eastAsia" w:ascii="仿宋" w:hAnsi="仿宋" w:eastAsia="仿宋" w:cs="仿宋"/>
          <w:sz w:val="32"/>
          <w:szCs w:val="32"/>
          <w:lang w:val="en-US" w:eastAsia="zh-CN"/>
        </w:rPr>
      </w:pPr>
      <w:bookmarkStart w:id="27" w:name="_Toc17027"/>
      <w:r>
        <w:rPr>
          <w:rFonts w:hint="eastAsia" w:ascii="仿宋" w:hAnsi="仿宋" w:eastAsia="仿宋" w:cs="仿宋"/>
          <w:sz w:val="32"/>
          <w:szCs w:val="32"/>
          <w:lang w:val="en-US" w:eastAsia="zh-CN"/>
        </w:rPr>
        <w:t>1.行政事业单位的工作具有一定的特殊性，很多工作无法用量化标准衡量，尤其人员经费、业务工作经费，在运用数量标准、质量标准评价财政资金支出方面存在许多障碍。</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2.资金使用效益有待进一步提高。 </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lang w:val="zh-CN"/>
        </w:rPr>
      </w:pPr>
      <w:r>
        <w:rPr>
          <w:rFonts w:hint="eastAsia" w:ascii="仿宋" w:hAnsi="仿宋" w:eastAsia="仿宋" w:cs="仿宋"/>
          <w:sz w:val="32"/>
          <w:szCs w:val="32"/>
        </w:rPr>
        <w:t>（二）</w:t>
      </w:r>
      <w:r>
        <w:rPr>
          <w:rFonts w:hint="eastAsia" w:ascii="仿宋" w:hAnsi="仿宋" w:eastAsia="仿宋" w:cs="仿宋"/>
          <w:sz w:val="32"/>
          <w:szCs w:val="32"/>
          <w:lang w:val="zh-CN"/>
        </w:rPr>
        <w:t>下一步改进措施</w:t>
      </w:r>
      <w:bookmarkEnd w:id="27"/>
    </w:p>
    <w:p>
      <w:pPr>
        <w:pStyle w:val="24"/>
        <w:pageBreakBefore w:val="0"/>
        <w:kinsoku/>
        <w:wordWrap/>
        <w:overflowPunct/>
        <w:topLinePunct w:val="0"/>
        <w:autoSpaceDE/>
        <w:autoSpaceDN/>
        <w:bidi w:val="0"/>
        <w:spacing w:line="360" w:lineRule="auto"/>
        <w:rPr>
          <w:rFonts w:hint="eastAsia" w:ascii="仿宋" w:hAnsi="仿宋" w:eastAsia="仿宋" w:cs="仿宋"/>
          <w:sz w:val="32"/>
          <w:szCs w:val="32"/>
          <w:lang w:val="zh-CN"/>
        </w:rPr>
      </w:pPr>
      <w:r>
        <w:rPr>
          <w:rFonts w:hint="eastAsia" w:ascii="仿宋" w:hAnsi="仿宋" w:eastAsia="仿宋" w:cs="仿宋"/>
          <w:sz w:val="32"/>
          <w:szCs w:val="32"/>
          <w:lang w:val="zh-CN"/>
        </w:rPr>
        <w:t>根据今后的工作任务和要求，吸取前年工作的经验，明确努力方向，加强绩效评价在目标上的设定，完善绩效评价内容。</w:t>
      </w:r>
    </w:p>
    <w:p>
      <w:pPr>
        <w:ind w:firstLine="640" w:firstLineChars="200"/>
        <w:rPr>
          <w:rFonts w:hint="eastAsia" w:ascii="仿宋" w:hAnsi="仿宋" w:eastAsia="仿宋" w:cs="仿宋"/>
          <w:sz w:val="32"/>
          <w:szCs w:val="32"/>
          <w:lang w:val="en-US" w:eastAsia="zh-CN"/>
        </w:rPr>
      </w:pPr>
      <w:bookmarkStart w:id="28" w:name="_Toc23218"/>
      <w:bookmarkStart w:id="29" w:name="_Toc4527"/>
      <w:r>
        <w:rPr>
          <w:rFonts w:hint="eastAsia" w:ascii="仿宋" w:hAnsi="仿宋" w:eastAsia="仿宋" w:cs="仿宋"/>
          <w:sz w:val="32"/>
          <w:szCs w:val="32"/>
          <w:lang w:val="en-US" w:eastAsia="zh-CN"/>
        </w:rPr>
        <w:t xml:space="preserve">1.进一步加强预算编制工作。根据本单位业务开展需要，逐项做出合理的可执行的预算计划。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3.切实做好预算财务分析常态化。定期做好预算支出财务分析，做好部门整体支出评价工作。 </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r>
        <w:rPr>
          <w:rFonts w:hint="eastAsia" w:ascii="仿宋" w:hAnsi="仿宋" w:eastAsia="仿宋" w:cs="仿宋"/>
          <w:sz w:val="32"/>
          <w:szCs w:val="32"/>
        </w:rPr>
        <w:t>（三）绩效自评结果应用</w:t>
      </w:r>
      <w:bookmarkEnd w:id="28"/>
    </w:p>
    <w:p>
      <w:pPr>
        <w:pStyle w:val="24"/>
        <w:pageBreakBefore w:val="0"/>
        <w:kinsoku/>
        <w:wordWrap/>
        <w:overflowPunct/>
        <w:topLinePunct w:val="0"/>
        <w:autoSpaceDE/>
        <w:autoSpaceDN/>
        <w:bidi w:val="0"/>
        <w:spacing w:line="360" w:lineRule="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1.以绩效评价结果应用为目标，坚持报告与公开相结合</w:t>
      </w:r>
      <w:bookmarkEnd w:id="29"/>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为加强绩效评价结果的应用，根据</w:t>
      </w:r>
      <w:r>
        <w:rPr>
          <w:rFonts w:hint="eastAsia" w:ascii="仿宋" w:hAnsi="仿宋" w:eastAsia="仿宋" w:cs="仿宋"/>
          <w:sz w:val="32"/>
          <w:szCs w:val="32"/>
          <w:highlight w:val="none"/>
          <w:lang w:val="en-US" w:eastAsia="zh-CN"/>
        </w:rPr>
        <w:t>太康县</w:t>
      </w:r>
      <w:r>
        <w:rPr>
          <w:rFonts w:hint="eastAsia" w:ascii="仿宋" w:hAnsi="仿宋" w:eastAsia="仿宋" w:cs="仿宋"/>
          <w:sz w:val="32"/>
          <w:szCs w:val="32"/>
          <w:highlight w:val="none"/>
        </w:rPr>
        <w:t>财政局</w:t>
      </w:r>
      <w:r>
        <w:rPr>
          <w:rFonts w:hint="eastAsia" w:ascii="仿宋" w:hAnsi="仿宋" w:eastAsia="仿宋" w:cs="仿宋"/>
          <w:sz w:val="32"/>
          <w:szCs w:val="32"/>
          <w:highlight w:val="none"/>
          <w:lang w:val="en-US" w:eastAsia="zh-CN"/>
        </w:rPr>
        <w:t>《关于开展2021年度部门整体支出绩效自评工作的通知》</w:t>
      </w:r>
      <w:r>
        <w:rPr>
          <w:rFonts w:hint="eastAsia" w:ascii="仿宋" w:hAnsi="仿宋" w:eastAsia="仿宋" w:cs="仿宋"/>
          <w:sz w:val="32"/>
          <w:szCs w:val="32"/>
          <w:highlight w:val="none"/>
        </w:rPr>
        <w:t>文件的要求，</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w:t>
      </w:r>
      <w:r>
        <w:rPr>
          <w:rFonts w:hint="eastAsia" w:ascii="仿宋" w:hAnsi="仿宋" w:cs="仿宋"/>
          <w:sz w:val="32"/>
          <w:szCs w:val="32"/>
          <w:highlight w:val="none"/>
          <w:lang w:eastAsia="zh-CN"/>
        </w:rPr>
        <w:t>单位</w:t>
      </w:r>
      <w:r>
        <w:rPr>
          <w:rFonts w:hint="eastAsia" w:ascii="仿宋" w:hAnsi="仿宋" w:eastAsia="仿宋" w:cs="仿宋"/>
          <w:sz w:val="32"/>
          <w:szCs w:val="32"/>
          <w:highlight w:val="none"/>
        </w:rPr>
        <w:t>部门整体绩效自评报告及自评表按时上报财政局，将绩效评价结果应用于下一年的预算编制。</w:t>
      </w:r>
    </w:p>
    <w:p>
      <w:pPr>
        <w:pStyle w:val="24"/>
        <w:pageBreakBefore w:val="0"/>
        <w:kinsoku/>
        <w:wordWrap/>
        <w:overflowPunct/>
        <w:topLinePunct w:val="0"/>
        <w:autoSpaceDE/>
        <w:autoSpaceDN/>
        <w:bidi w:val="0"/>
        <w:spacing w:line="360" w:lineRule="auto"/>
        <w:rPr>
          <w:rFonts w:hint="eastAsia" w:ascii="仿宋" w:hAnsi="仿宋" w:eastAsia="仿宋" w:cs="仿宋"/>
          <w:b/>
          <w:bCs/>
          <w:sz w:val="32"/>
          <w:szCs w:val="32"/>
          <w:highlight w:val="none"/>
        </w:rPr>
      </w:pPr>
      <w:bookmarkStart w:id="30" w:name="_Toc1950"/>
      <w:r>
        <w:rPr>
          <w:rFonts w:hint="eastAsia" w:ascii="仿宋" w:hAnsi="仿宋" w:eastAsia="仿宋" w:cs="仿宋"/>
          <w:b/>
          <w:bCs/>
          <w:sz w:val="32"/>
          <w:szCs w:val="32"/>
          <w:highlight w:val="none"/>
        </w:rPr>
        <w:t>2</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以绩效评价反馈问题为导向，提出整改的思路和办法</w:t>
      </w:r>
      <w:bookmarkEnd w:id="30"/>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val="zh-CN"/>
        </w:rPr>
      </w:pPr>
      <w:r>
        <w:rPr>
          <w:rFonts w:hint="eastAsia" w:ascii="仿宋" w:hAnsi="仿宋" w:eastAsia="仿宋" w:cs="仿宋"/>
          <w:sz w:val="32"/>
          <w:szCs w:val="32"/>
          <w:highlight w:val="none"/>
        </w:rPr>
        <w:t>根据绩效自评结果，要求各业务单位进一步分析绩效目标未完成的原因，发现部门工作存在的问题，提出整改思路和解决办法，结合问卷中社会公众的相关意见和建议，以问题为导向，扎实推进</w:t>
      </w:r>
      <w:r>
        <w:rPr>
          <w:rFonts w:hint="eastAsia" w:ascii="仿宋" w:hAnsi="仿宋" w:eastAsia="仿宋" w:cs="仿宋"/>
          <w:sz w:val="32"/>
          <w:szCs w:val="32"/>
          <w:highlight w:val="none"/>
          <w:lang w:eastAsia="zh-CN"/>
        </w:rPr>
        <w:t>我</w:t>
      </w:r>
      <w:r>
        <w:rPr>
          <w:rFonts w:hint="eastAsia" w:ascii="仿宋" w:hAnsi="仿宋" w:cs="仿宋"/>
          <w:sz w:val="32"/>
          <w:szCs w:val="32"/>
          <w:highlight w:val="none"/>
          <w:lang w:eastAsia="zh-CN"/>
        </w:rPr>
        <w:t>单位</w:t>
      </w:r>
      <w:r>
        <w:rPr>
          <w:rFonts w:hint="eastAsia" w:ascii="仿宋" w:hAnsi="仿宋" w:eastAsia="仿宋" w:cs="仿宋"/>
          <w:sz w:val="32"/>
          <w:szCs w:val="32"/>
          <w:highlight w:val="none"/>
        </w:rPr>
        <w:t>各项工作发展。</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highlight w:val="none"/>
        </w:rPr>
      </w:pPr>
      <w:bookmarkStart w:id="31" w:name="_Toc32190"/>
      <w:r>
        <w:rPr>
          <w:rFonts w:hint="eastAsia" w:ascii="仿宋" w:hAnsi="仿宋" w:eastAsia="仿宋" w:cs="仿宋"/>
          <w:color w:val="auto"/>
          <w:sz w:val="32"/>
          <w:szCs w:val="32"/>
          <w:highlight w:val="none"/>
        </w:rPr>
        <w:t>六、有关建议</w:t>
      </w:r>
      <w:bookmarkEnd w:id="31"/>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通过此次绩效自评工作的开展，</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意识到自身需加强绩效管理，培养工作人员的绩效管理意识，增加相关人员绩效管理知识性和系统性的培训，使今后绩效管理的工作能够更好的开展。</w:t>
      </w:r>
    </w:p>
    <w:p>
      <w:pPr>
        <w:pStyle w:val="5"/>
        <w:pageBreakBefore w:val="0"/>
        <w:kinsoku/>
        <w:wordWrap/>
        <w:overflowPunct/>
        <w:topLinePunct w:val="0"/>
        <w:autoSpaceDE/>
        <w:autoSpaceDN/>
        <w:bidi w:val="0"/>
        <w:spacing w:line="360" w:lineRule="auto"/>
        <w:rPr>
          <w:rFonts w:hint="eastAsia" w:ascii="仿宋" w:hAnsi="仿宋" w:eastAsia="仿宋" w:cs="仿宋"/>
          <w:color w:val="auto"/>
          <w:sz w:val="32"/>
          <w:szCs w:val="32"/>
          <w:highlight w:val="none"/>
        </w:rPr>
      </w:pPr>
      <w:bookmarkStart w:id="32" w:name="_Toc26117"/>
      <w:r>
        <w:rPr>
          <w:rFonts w:hint="eastAsia" w:ascii="仿宋" w:hAnsi="仿宋" w:eastAsia="仿宋" w:cs="仿宋"/>
          <w:color w:val="auto"/>
          <w:sz w:val="32"/>
          <w:szCs w:val="32"/>
          <w:highlight w:val="none"/>
        </w:rPr>
        <w:t>七、其他需要说明的问题</w:t>
      </w:r>
      <w:bookmarkEnd w:id="32"/>
    </w:p>
    <w:p>
      <w:pPr>
        <w:pStyle w:val="6"/>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bookmarkStart w:id="33" w:name="_Toc15457"/>
      <w:bookmarkStart w:id="34" w:name="_Toc85"/>
      <w:r>
        <w:rPr>
          <w:rFonts w:hint="eastAsia" w:ascii="仿宋" w:hAnsi="仿宋" w:eastAsia="仿宋" w:cs="仿宋"/>
          <w:sz w:val="32"/>
          <w:szCs w:val="32"/>
          <w:highlight w:val="none"/>
        </w:rPr>
        <w:t>（一）绩效自评工作经验</w:t>
      </w:r>
      <w:bookmarkEnd w:id="33"/>
      <w:bookmarkEnd w:id="34"/>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我</w:t>
      </w:r>
      <w:r>
        <w:rPr>
          <w:rFonts w:hint="eastAsia" w:ascii="仿宋" w:hAnsi="仿宋" w:eastAsia="仿宋" w:cs="仿宋"/>
          <w:sz w:val="32"/>
          <w:szCs w:val="32"/>
          <w:highlight w:val="none"/>
        </w:rPr>
        <w:t>单位通过此次部门整体绩效自评，</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充分了解到本级部门的整体运行情况和工作开展进度、成效及不足之处。</w:t>
      </w:r>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此次评价发现的相关问题和经验，为</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今后的工作规划提供了借鉴、能够指导今后工作实际开展，促使我单位内部管理的系统化和规范化。</w:t>
      </w:r>
    </w:p>
    <w:p>
      <w:pPr>
        <w:pStyle w:val="6"/>
        <w:pageBreakBefore w:val="0"/>
        <w:kinsoku/>
        <w:wordWrap/>
        <w:overflowPunct/>
        <w:topLinePunct w:val="0"/>
        <w:autoSpaceDE/>
        <w:autoSpaceDN/>
        <w:bidi w:val="0"/>
        <w:spacing w:line="360" w:lineRule="auto"/>
        <w:rPr>
          <w:rFonts w:hint="eastAsia" w:ascii="仿宋" w:hAnsi="仿宋" w:eastAsia="仿宋" w:cs="仿宋"/>
          <w:sz w:val="32"/>
          <w:szCs w:val="32"/>
        </w:rPr>
      </w:pPr>
      <w:bookmarkStart w:id="35" w:name="_Toc16742"/>
      <w:bookmarkStart w:id="36" w:name="_Toc5863"/>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bookmarkEnd w:id="35"/>
      <w:bookmarkEnd w:id="36"/>
    </w:p>
    <w:p>
      <w:pPr>
        <w:pStyle w:val="24"/>
        <w:pageBreakBefore w:val="0"/>
        <w:kinsoku/>
        <w:wordWrap/>
        <w:overflowPunct/>
        <w:topLinePunct w:val="0"/>
        <w:autoSpaceDE/>
        <w:autoSpaceDN/>
        <w:bidi w:val="0"/>
        <w:spacing w:line="360" w:lineRule="auto"/>
        <w:rPr>
          <w:rFonts w:hint="eastAsia" w:ascii="仿宋" w:hAnsi="仿宋" w:eastAsia="仿宋" w:cs="仿宋"/>
          <w:sz w:val="32"/>
          <w:szCs w:val="32"/>
          <w:highlight w:val="none"/>
          <w:lang w:val="en-US" w:eastAsia="zh-CN"/>
        </w:rPr>
      </w:pPr>
      <w:bookmarkStart w:id="37" w:name="_Toc32143"/>
      <w:bookmarkStart w:id="38" w:name="_Toc20640"/>
      <w:bookmarkStart w:id="39" w:name="_Toc24424"/>
      <w:r>
        <w:rPr>
          <w:rFonts w:hint="eastAsia" w:ascii="仿宋" w:hAnsi="仿宋" w:eastAsia="仿宋" w:cs="仿宋"/>
          <w:sz w:val="32"/>
          <w:szCs w:val="32"/>
          <w:highlight w:val="none"/>
          <w:lang w:val="en-US" w:eastAsia="zh-CN"/>
        </w:rPr>
        <w:t>无。</w:t>
      </w:r>
    </w:p>
    <w:p>
      <w:pPr>
        <w:pageBreakBefore w:val="0"/>
        <w:kinsoku/>
        <w:wordWrap/>
        <w:overflowPunct/>
        <w:topLinePunct w:val="0"/>
        <w:autoSpaceDE/>
        <w:autoSpaceDN/>
        <w:bidi w:val="0"/>
        <w:spacing w:line="360" w:lineRule="auto"/>
        <w:rPr>
          <w:rFonts w:hint="eastAsia" w:ascii="仿宋" w:hAnsi="仿宋" w:eastAsia="仿宋" w:cs="仿宋"/>
          <w:sz w:val="32"/>
          <w:szCs w:val="32"/>
        </w:rPr>
      </w:pPr>
    </w:p>
    <w:p>
      <w:pPr>
        <w:pStyle w:val="3"/>
        <w:pageBreakBefore w:val="0"/>
        <w:kinsoku/>
        <w:wordWrap/>
        <w:overflowPunct/>
        <w:topLinePunct w:val="0"/>
        <w:autoSpaceDE/>
        <w:autoSpaceDN/>
        <w:bidi w:val="0"/>
        <w:spacing w:line="360" w:lineRule="auto"/>
        <w:rPr>
          <w:rFonts w:hint="eastAsia" w:ascii="仿宋" w:hAnsi="仿宋" w:eastAsia="仿宋" w:cs="仿宋"/>
          <w:sz w:val="32"/>
          <w:szCs w:val="3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pageBreakBefore w:val="0"/>
        <w:kinsoku/>
        <w:wordWrap/>
        <w:overflowPunct/>
        <w:topLinePunct w:val="0"/>
        <w:autoSpaceDE/>
        <w:autoSpaceDN/>
        <w:bidi w:val="0"/>
        <w:spacing w:line="360" w:lineRule="auto"/>
        <w:rPr>
          <w:rFonts w:hint="eastAsia" w:ascii="仿宋" w:hAnsi="仿宋" w:eastAsia="仿宋" w:cs="仿宋"/>
          <w:sz w:val="32"/>
          <w:szCs w:val="32"/>
          <w:highlight w:val="yellow"/>
        </w:rPr>
      </w:pPr>
      <w:bookmarkStart w:id="40" w:name="_Toc14584"/>
      <w:r>
        <w:rPr>
          <w:rFonts w:hint="eastAsia" w:ascii="仿宋" w:hAnsi="仿宋" w:eastAsia="仿宋" w:cs="仿宋"/>
          <w:color w:val="auto"/>
          <w:sz w:val="32"/>
          <w:szCs w:val="32"/>
        </w:rPr>
        <w:t>附件1：</w:t>
      </w:r>
      <w:bookmarkEnd w:id="37"/>
      <w:bookmarkStart w:id="41" w:name="_Toc9225"/>
      <w:r>
        <w:rPr>
          <w:rFonts w:hint="eastAsia" w:ascii="仿宋" w:hAnsi="仿宋" w:eastAsia="仿宋" w:cs="仿宋"/>
          <w:color w:val="auto"/>
          <w:sz w:val="32"/>
          <w:szCs w:val="32"/>
          <w:lang w:eastAsia="zh-CN"/>
        </w:rPr>
        <w:t>2021</w:t>
      </w:r>
      <w:r>
        <w:rPr>
          <w:rFonts w:hint="eastAsia" w:ascii="仿宋" w:hAnsi="仿宋" w:eastAsia="仿宋" w:cs="仿宋"/>
          <w:color w:val="auto"/>
          <w:sz w:val="32"/>
          <w:szCs w:val="32"/>
        </w:rPr>
        <w:t>年度部门整体绩效自评表</w:t>
      </w:r>
      <w:bookmarkEnd w:id="38"/>
      <w:bookmarkEnd w:id="39"/>
      <w:bookmarkEnd w:id="40"/>
      <w:bookmarkEnd w:id="41"/>
    </w:p>
    <w:p>
      <w:pPr>
        <w:pStyle w:val="24"/>
        <w:pageBreakBefore w:val="0"/>
        <w:kinsoku/>
        <w:wordWrap/>
        <w:overflowPunct/>
        <w:topLinePunct w:val="0"/>
        <w:autoSpaceDE/>
        <w:autoSpaceDN/>
        <w:bidi w:val="0"/>
        <w:spacing w:line="360" w:lineRule="auto"/>
        <w:rPr>
          <w:rFonts w:hint="eastAsia" w:ascii="仿宋" w:hAnsi="仿宋" w:eastAsia="仿宋" w:cs="仿宋"/>
          <w:sz w:val="32"/>
          <w:szCs w:val="32"/>
        </w:rPr>
      </w:pPr>
    </w:p>
    <w:tbl>
      <w:tblPr>
        <w:tblStyle w:val="15"/>
        <w:tblW w:w="0" w:type="auto"/>
        <w:tblInd w:w="0" w:type="dxa"/>
        <w:shd w:val="clear" w:color="auto" w:fill="auto"/>
        <w:tblLayout w:type="autofit"/>
        <w:tblCellMar>
          <w:top w:w="0" w:type="dxa"/>
          <w:left w:w="0" w:type="dxa"/>
          <w:bottom w:w="0" w:type="dxa"/>
          <w:right w:w="0" w:type="dxa"/>
        </w:tblCellMar>
      </w:tblPr>
      <w:tblGrid>
        <w:gridCol w:w="270"/>
        <w:gridCol w:w="270"/>
        <w:gridCol w:w="750"/>
        <w:gridCol w:w="4159"/>
        <w:gridCol w:w="3041"/>
        <w:gridCol w:w="3041"/>
        <w:gridCol w:w="1137"/>
        <w:gridCol w:w="449"/>
        <w:gridCol w:w="601"/>
        <w:gridCol w:w="270"/>
      </w:tblGrid>
      <w:tr>
        <w:tblPrEx>
          <w:shd w:val="clear" w:color="auto" w:fill="auto"/>
          <w:tblCellMar>
            <w:top w:w="0" w:type="dxa"/>
            <w:left w:w="0" w:type="dxa"/>
            <w:bottom w:w="0" w:type="dxa"/>
            <w:right w:w="0" w:type="dxa"/>
          </w:tblCellMar>
        </w:tblPrEx>
        <w:trPr>
          <w:trHeight w:val="37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cs="仿宋"/>
                <w:sz w:val="24"/>
                <w:szCs w:val="24"/>
                <w:lang w:val="en-US" w:eastAsia="zh-CN"/>
              </w:rPr>
              <w:t>太康县政协</w:t>
            </w:r>
          </w:p>
        </w:tc>
      </w:tr>
      <w:tr>
        <w:tblPrEx>
          <w:shd w:val="clear" w:color="auto" w:fill="auto"/>
          <w:tblCellMar>
            <w:top w:w="0" w:type="dxa"/>
            <w:left w:w="0" w:type="dxa"/>
            <w:bottom w:w="0" w:type="dxa"/>
            <w:right w:w="0" w:type="dxa"/>
          </w:tblCellMar>
        </w:tblPrEx>
        <w:trPr>
          <w:trHeight w:val="75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部门预算总额（万元）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default" w:ascii="仿宋" w:hAnsi="仿宋" w:eastAsia="仿宋" w:cs="仿宋"/>
                <w:sz w:val="24"/>
                <w:szCs w:val="24"/>
                <w:lang w:val="en-US"/>
              </w:rPr>
            </w:pPr>
            <w:r>
              <w:rPr>
                <w:rFonts w:hint="eastAsia" w:ascii="仿宋" w:hAnsi="仿宋" w:eastAsia="仿宋" w:cs="仿宋"/>
                <w:sz w:val="24"/>
                <w:szCs w:val="24"/>
                <w:lang w:val="en-US" w:eastAsia="zh-CN"/>
              </w:rPr>
              <w:t>839.9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839.9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839.9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bidi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lang w:val="en-US" w:eastAsia="zh-CN"/>
              </w:rPr>
              <w:t>839.9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bidi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lang w:val="en-US" w:eastAsia="zh-CN"/>
              </w:rPr>
              <w:t>839.9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839.9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75"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年度履职目标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3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目标名称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目标完成情况</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目标1: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2"/>
                <w:szCs w:val="22"/>
                <w:highlight w:val="none"/>
                <w:lang w:val="en-US" w:eastAsia="zh-CN"/>
              </w:rPr>
            </w:pPr>
            <w:r>
              <w:rPr>
                <w:rFonts w:hint="eastAsia" w:ascii="仿宋" w:hAnsi="仿宋" w:cs="仿宋"/>
                <w:sz w:val="22"/>
                <w:szCs w:val="22"/>
                <w:lang w:eastAsia="zh-CN"/>
              </w:rPr>
              <w:t>完成</w:t>
            </w:r>
            <w:r>
              <w:rPr>
                <w:rFonts w:hint="eastAsia" w:ascii="仿宋" w:hAnsi="仿宋" w:eastAsia="仿宋" w:cs="仿宋"/>
                <w:sz w:val="22"/>
                <w:szCs w:val="22"/>
                <w:lang w:eastAsia="zh-CN"/>
              </w:rPr>
              <w:t>政治协商和民主监督，组织参加本会的各党派、团体和各族各界人士参政议政。</w:t>
            </w:r>
          </w:p>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年度主要任务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任务完成情况</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2"/>
                <w:szCs w:val="22"/>
                <w:highlight w:val="none"/>
              </w:rPr>
            </w:pPr>
            <w:r>
              <w:rPr>
                <w:rFonts w:hint="eastAsia" w:ascii="仿宋" w:hAnsi="仿宋" w:cs="仿宋"/>
                <w:sz w:val="22"/>
                <w:szCs w:val="22"/>
                <w:lang w:eastAsia="zh-CN"/>
              </w:rPr>
              <w:t>充分</w:t>
            </w:r>
            <w:r>
              <w:rPr>
                <w:rFonts w:hint="eastAsia" w:ascii="仿宋" w:hAnsi="仿宋" w:eastAsia="仿宋" w:cs="仿宋"/>
                <w:sz w:val="22"/>
                <w:szCs w:val="22"/>
                <w:lang w:eastAsia="zh-CN"/>
              </w:rPr>
              <w:t>发扬社会主义民主，反映社会各方面的意见和要求</w:t>
            </w:r>
            <w:r>
              <w:rPr>
                <w:rFonts w:hint="eastAsia" w:ascii="仿宋" w:hAnsi="仿宋" w:cs="仿宋"/>
                <w:sz w:val="22"/>
                <w:szCs w:val="22"/>
                <w:lang w:eastAsia="zh-CN"/>
              </w:rPr>
              <w:t>。</w:t>
            </w:r>
          </w:p>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1"/>
                <w:szCs w:val="21"/>
                <w:highlight w:val="none"/>
              </w:rPr>
            </w:pPr>
            <w:r>
              <w:rPr>
                <w:rFonts w:hint="eastAsia" w:ascii="仿宋" w:hAnsi="仿宋" w:eastAsia="仿宋" w:cs="仿宋"/>
                <w:sz w:val="21"/>
                <w:szCs w:val="21"/>
                <w:lang w:eastAsia="zh-CN"/>
              </w:rPr>
              <w:t>为参加人民政协的各民主党派、无党派爱国人士、人民团体、少数民族人士和各界爱国人士发挥作用开辟畅通的渠道，集思广益，促进国家重大决策的科学化与民主化</w:t>
            </w:r>
            <w:r>
              <w:rPr>
                <w:rFonts w:hint="eastAsia" w:ascii="仿宋" w:hAnsi="仿宋" w:cs="仿宋"/>
                <w:sz w:val="21"/>
                <w:szCs w:val="21"/>
                <w:lang w:eastAsia="zh-CN"/>
              </w:rPr>
              <w:t>。</w:t>
            </w:r>
          </w:p>
          <w:p>
            <w:pPr>
              <w:pStyle w:val="26"/>
              <w:keepNext w:val="0"/>
              <w:keepLines w:val="0"/>
              <w:suppressLineNumbers w:val="0"/>
              <w:bidi w:val="0"/>
              <w:spacing w:before="0" w:beforeAutospacing="0" w:after="0" w:afterAutospacing="0"/>
              <w:ind w:left="0" w:right="0"/>
              <w:rPr>
                <w:rFonts w:hint="eastAsia" w:ascii="仿宋" w:hAnsi="仿宋" w:eastAsia="仿宋" w:cs="仿宋"/>
                <w:sz w:val="18"/>
                <w:szCs w:val="18"/>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rPr>
                <w:rFonts w:hint="eastAsia" w:ascii="仿宋" w:hAnsi="仿宋" w:eastAsia="仿宋" w:cs="仿宋"/>
                <w:sz w:val="21"/>
                <w:szCs w:val="21"/>
                <w:highlight w:val="none"/>
              </w:rPr>
            </w:pPr>
            <w:r>
              <w:rPr>
                <w:rFonts w:hint="eastAsia" w:ascii="仿宋" w:hAnsi="仿宋" w:eastAsia="仿宋" w:cs="仿宋"/>
                <w:sz w:val="21"/>
                <w:szCs w:val="21"/>
                <w:lang w:eastAsia="zh-CN"/>
              </w:rPr>
              <w:t>监督国家机关改进工作，提高效率，克服官僚主义，反对腐败现象</w:t>
            </w:r>
            <w:r>
              <w:rPr>
                <w:rFonts w:hint="eastAsia" w:ascii="仿宋" w:hAnsi="仿宋" w:cs="仿宋"/>
                <w:sz w:val="21"/>
                <w:szCs w:val="21"/>
                <w:lang w:eastAsia="zh-CN"/>
              </w:rPr>
              <w:t>。</w:t>
            </w:r>
          </w:p>
          <w:p>
            <w:pPr>
              <w:pStyle w:val="26"/>
              <w:keepNext w:val="0"/>
              <w:keepLines w:val="0"/>
              <w:suppressLineNumbers w:val="0"/>
              <w:bidi w:val="0"/>
              <w:spacing w:before="0" w:beforeAutospacing="0" w:after="0" w:afterAutospacing="0"/>
              <w:ind w:left="0" w:right="0"/>
              <w:rPr>
                <w:rFonts w:hint="eastAsia" w:ascii="仿宋" w:hAnsi="仿宋" w:eastAsia="仿宋" w:cs="仿宋"/>
                <w:sz w:val="18"/>
                <w:szCs w:val="18"/>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18"/>
                <w:szCs w:val="18"/>
              </w:rPr>
            </w:pPr>
            <w:r>
              <w:rPr>
                <w:rFonts w:hint="eastAsia" w:ascii="仿宋" w:hAnsi="仿宋" w:eastAsia="仿宋" w:cs="仿宋"/>
                <w:sz w:val="21"/>
                <w:szCs w:val="21"/>
                <w:lang w:eastAsia="zh-CN"/>
              </w:rPr>
              <w:t>推动社会主义物质文明、政治文明、精神文明建设，促进社会主义市场经济和社会生产力的发展；协调社会各方面的关系，促进各方面的相互沟通和理解，加强在共产党领导下各党派的团结合作</w:t>
            </w:r>
            <w:r>
              <w:rPr>
                <w:rFonts w:hint="eastAsia" w:ascii="仿宋" w:hAnsi="仿宋" w:cs="仿宋"/>
                <w:sz w:val="21"/>
                <w:szCs w:val="21"/>
                <w:lang w:eastAsia="zh-CN"/>
              </w:rPr>
              <w:t>。</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任务5: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18"/>
                <w:szCs w:val="18"/>
              </w:rPr>
            </w:pPr>
            <w:r>
              <w:rPr>
                <w:rFonts w:hint="eastAsia" w:ascii="仿宋" w:hAnsi="仿宋" w:eastAsia="仿宋" w:cs="仿宋"/>
                <w:sz w:val="21"/>
                <w:szCs w:val="21"/>
                <w:lang w:eastAsia="zh-CN"/>
              </w:rPr>
              <w:t>贯彻执行“和平统一、一国两制”的方针，促进祖国统一大业的实现。</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指标值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指标说明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未完成原因分析及改进措施</w:t>
            </w:r>
          </w:p>
        </w:tc>
      </w:tr>
      <w:tr>
        <w:tblPrEx>
          <w:shd w:val="clear" w:color="auto" w:fill="auto"/>
          <w:tblCellMar>
            <w:top w:w="0" w:type="dxa"/>
            <w:left w:w="0" w:type="dxa"/>
            <w:bottom w:w="0" w:type="dxa"/>
            <w:right w:w="0" w:type="dxa"/>
          </w:tblCellMar>
        </w:tblPrEx>
        <w:trPr>
          <w:trHeight w:val="34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投入管理指标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工作目标管理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年度履职目标相关性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工作任务科学性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绩效指标合理性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基本合理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预算和财务管理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专项资金细化率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预算调整率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结转结余率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“三公经费”控制率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政府采购执行率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决算真实性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预决算信息公幵性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资产管理规范性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绩效管理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绩效监控完成率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绩效自评完成率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评价结果应用率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重点工作任务完成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重点工作1计划完成率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重点工作2计划完成率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重点工作3计划完成率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重点工作4计划完成率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重点工作5计划完成率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履职目标实现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年度工作目标1实现率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3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效益指标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35</w:t>
            </w: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履职效益</w:t>
            </w:r>
          </w:p>
        </w:tc>
        <w:tc>
          <w:tcPr>
            <w:tcW w:w="4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sz w:val="24"/>
                <w:szCs w:val="24"/>
              </w:rPr>
            </w:pPr>
            <w:r>
              <w:rPr>
                <w:rFonts w:hint="default" w:ascii="仿宋" w:hAnsi="仿宋" w:eastAsia="仿宋" w:cs="仿宋"/>
                <w:sz w:val="28"/>
                <w:szCs w:val="28"/>
                <w:highlight w:val="none"/>
                <w:lang w:eastAsia="zh-CN"/>
              </w:rPr>
              <w:t>有效促进经济社会发展</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sz w:val="24"/>
                <w:szCs w:val="24"/>
              </w:rPr>
            </w:pPr>
            <w:r>
              <w:rPr>
                <w:rFonts w:hint="eastAsia" w:ascii="仿宋" w:hAnsi="仿宋" w:eastAsia="仿宋" w:cs="仿宋"/>
                <w:sz w:val="28"/>
                <w:szCs w:val="28"/>
                <w:highlight w:val="none"/>
                <w:lang w:eastAsia="zh-CN"/>
              </w:rPr>
              <w:t>促进</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sz w:val="24"/>
                <w:szCs w:val="24"/>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8"/>
                <w:szCs w:val="28"/>
                <w:highlight w:val="none"/>
                <w:lang w:eastAsia="zh-CN"/>
              </w:rPr>
              <w:t>促进</w:t>
            </w:r>
          </w:p>
        </w:tc>
        <w:tc>
          <w:tcPr>
            <w:tcW w:w="44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8"/>
                <w:szCs w:val="28"/>
                <w:lang w:val="en-US" w:eastAsia="zh-CN"/>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8"/>
                <w:szCs w:val="28"/>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4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sz w:val="24"/>
                <w:szCs w:val="24"/>
                <w:lang w:val="en-US" w:eastAsia="zh-CN"/>
              </w:rPr>
            </w:pPr>
            <w:r>
              <w:rPr>
                <w:rFonts w:hint="eastAsia" w:ascii="仿宋" w:hAnsi="仿宋" w:eastAsia="仿宋" w:cs="仿宋"/>
                <w:sz w:val="28"/>
                <w:szCs w:val="28"/>
                <w:highlight w:val="none"/>
                <w:lang w:eastAsia="zh-CN"/>
              </w:rPr>
              <w:t>改善民生</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sz w:val="24"/>
                <w:szCs w:val="24"/>
                <w:lang w:val="en-US" w:eastAsia="zh-CN"/>
              </w:rPr>
            </w:pPr>
            <w:r>
              <w:rPr>
                <w:rFonts w:hint="eastAsia" w:cstheme="minorBidi"/>
                <w:color w:val="auto"/>
                <w:kern w:val="2"/>
                <w:sz w:val="22"/>
                <w:szCs w:val="21"/>
                <w:highlight w:val="none"/>
                <w:lang w:val="en-US" w:eastAsia="zh-CN" w:bidi="ar-SA"/>
              </w:rPr>
              <w:t>改善</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sz w:val="24"/>
                <w:szCs w:val="24"/>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stheme="minorBidi"/>
                <w:color w:val="auto"/>
                <w:kern w:val="2"/>
                <w:sz w:val="22"/>
                <w:szCs w:val="21"/>
                <w:highlight w:val="none"/>
                <w:lang w:val="en-US" w:eastAsia="zh-CN" w:bidi="ar-SA"/>
              </w:rPr>
              <w:t>改善</w:t>
            </w:r>
          </w:p>
        </w:tc>
        <w:tc>
          <w:tcPr>
            <w:tcW w:w="44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olor w:val="auto"/>
                <w:sz w:val="22"/>
                <w:szCs w:val="21"/>
                <w:highlight w:val="none"/>
                <w:lang w:val="en-US" w:eastAsia="zh-CN"/>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olor w:val="auto"/>
                <w:sz w:val="22"/>
                <w:szCs w:val="21"/>
                <w:highlight w:val="none"/>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4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firstLine="0" w:firstLineChars="0"/>
              <w:rPr>
                <w:rFonts w:hint="eastAsia" w:ascii="仿宋" w:hAnsi="仿宋" w:eastAsia="仿宋" w:cs="仿宋"/>
                <w:sz w:val="24"/>
                <w:szCs w:val="24"/>
              </w:rPr>
            </w:pPr>
            <w:r>
              <w:rPr>
                <w:rFonts w:hint="eastAsia" w:ascii="仿宋" w:hAnsi="仿宋" w:eastAsia="仿宋" w:cs="仿宋"/>
                <w:sz w:val="28"/>
                <w:szCs w:val="28"/>
                <w:highlight w:val="none"/>
                <w:lang w:eastAsia="zh-CN"/>
              </w:rPr>
              <w:t>积极进言献策</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sz w:val="24"/>
                <w:szCs w:val="24"/>
              </w:rPr>
            </w:pPr>
            <w:r>
              <w:rPr>
                <w:rFonts w:hint="eastAsia" w:cstheme="minorBidi"/>
                <w:color w:val="auto"/>
                <w:kern w:val="2"/>
                <w:sz w:val="22"/>
                <w:szCs w:val="21"/>
                <w:highlight w:val="none"/>
                <w:lang w:val="en-US" w:eastAsia="zh-CN" w:bidi="ar-SA"/>
              </w:rPr>
              <w:t>积极</w:t>
            </w:r>
          </w:p>
        </w:tc>
        <w:tc>
          <w:tcPr>
            <w:tcW w:w="2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sz w:val="24"/>
                <w:szCs w:val="24"/>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stheme="minorBidi"/>
                <w:color w:val="auto"/>
                <w:kern w:val="2"/>
                <w:sz w:val="22"/>
                <w:szCs w:val="21"/>
                <w:highlight w:val="none"/>
                <w:lang w:val="en-US" w:eastAsia="zh-CN" w:bidi="ar-SA"/>
              </w:rPr>
              <w:t>积极</w:t>
            </w:r>
          </w:p>
        </w:tc>
        <w:tc>
          <w:tcPr>
            <w:tcW w:w="44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olor w:val="auto"/>
                <w:sz w:val="22"/>
                <w:szCs w:val="21"/>
                <w:highlight w:val="none"/>
                <w:lang w:val="en-US" w:eastAsia="zh-CN"/>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firstLine="0" w:firstLineChars="0"/>
              <w:rPr>
                <w:rFonts w:hint="eastAsia" w:ascii="仿宋" w:hAnsi="仿宋" w:eastAsia="仿宋" w:cs="仿宋"/>
                <w:kern w:val="2"/>
                <w:sz w:val="24"/>
                <w:szCs w:val="24"/>
                <w:lang w:val="en-US" w:eastAsia="zh-CN" w:bidi="ar-SA"/>
              </w:rPr>
            </w:pPr>
            <w:r>
              <w:rPr>
                <w:rFonts w:hint="eastAsia"/>
                <w:color w:val="auto"/>
                <w:sz w:val="22"/>
                <w:szCs w:val="21"/>
                <w:highlight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96.00%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tblCellMar>
            <w:top w:w="0" w:type="dxa"/>
            <w:left w:w="0" w:type="dxa"/>
            <w:bottom w:w="0" w:type="dxa"/>
            <w:right w:w="0"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p>
        </w:tc>
      </w:tr>
      <w:tr>
        <w:tblPrEx>
          <w:tblCellMar>
            <w:top w:w="0" w:type="dxa"/>
            <w:left w:w="0" w:type="dxa"/>
            <w:bottom w:w="0" w:type="dxa"/>
            <w:right w:w="0" w:type="dxa"/>
          </w:tblCellMar>
        </w:tblPrEx>
        <w:trPr>
          <w:trHeight w:val="300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6"/>
              <w:keepNext w:val="0"/>
              <w:keepLines w:val="0"/>
              <w:suppressLineNumbers w:val="0"/>
              <w:bidi w:val="0"/>
              <w:spacing w:before="0" w:beforeAutospacing="0" w:after="0" w:afterAutospacing="0"/>
              <w:ind w:left="0" w:right="0"/>
              <w:rPr>
                <w:rFonts w:hint="eastAsia" w:ascii="仿宋" w:hAnsi="仿宋" w:eastAsia="仿宋" w:cs="仿宋"/>
                <w:sz w:val="24"/>
                <w:szCs w:val="24"/>
              </w:rPr>
            </w:pPr>
            <w:r>
              <w:rPr>
                <w:rFonts w:hint="eastAsia" w:ascii="仿宋" w:hAnsi="仿宋" w:eastAsia="仿宋" w:cs="仿宋"/>
                <w:sz w:val="24"/>
                <w:szCs w:val="24"/>
                <w:lang w:val="en-US" w:eastAsia="zh-CN"/>
              </w:rPr>
              <w:t>注：1.自评采取打分评价的形式，满分为100分，各部门（单位）可根据指标的重要程度自主确定各项三级指标的权重分值，各项指标得分加总得出该项 目绩效自评的总分.原则上一级指标分值统一设a为：投入管理指标30分、产出指标25分、效益指标35分、预算执行率10分.2.未完成原因分析及改进 措施：说明偏离目标、不能完成目标的原因及改进措施.3.定性指标根据指标完成情况分为达成预期指标、部分达成预期指标并具有一定效果、未达成 预期指标且效果较差三档，分别按照该指标对应分值区间100%-80% (含)、80%-60% (含）、60%-0%合理确定分值.定量指标完成指标值的，记该指标所赋全部分值，未完成的，按照完成值与指标值的比例计分.</w:t>
            </w:r>
          </w:p>
        </w:tc>
      </w:tr>
    </w:tbl>
    <w:p>
      <w:pPr>
        <w:pageBreakBefore w:val="0"/>
        <w:kinsoku/>
        <w:wordWrap/>
        <w:overflowPunct/>
        <w:topLinePunct w:val="0"/>
        <w:autoSpaceDE/>
        <w:autoSpaceDN/>
        <w:bidi w:val="0"/>
        <w:spacing w:line="360" w:lineRule="auto"/>
        <w:rPr>
          <w:rFonts w:hint="eastAsia" w:ascii="仿宋" w:hAnsi="仿宋" w:eastAsia="仿宋" w:cs="仿宋"/>
          <w:sz w:val="32"/>
          <w:szCs w:val="32"/>
        </w:rPr>
      </w:pPr>
    </w:p>
    <w:p>
      <w:pPr>
        <w:pageBreakBefore w:val="0"/>
        <w:kinsoku/>
        <w:wordWrap/>
        <w:overflowPunct/>
        <w:topLinePunct w:val="0"/>
        <w:autoSpaceDE/>
        <w:autoSpaceDN/>
        <w:bidi w:val="0"/>
        <w:spacing w:line="360" w:lineRule="auto"/>
        <w:rPr>
          <w:rFonts w:hint="eastAsia" w:ascii="仿宋" w:hAnsi="仿宋" w:eastAsia="仿宋" w:cs="仿宋"/>
          <w:b/>
          <w:sz w:val="32"/>
          <w:szCs w:val="32"/>
        </w:rPr>
      </w:pPr>
    </w:p>
    <w:p>
      <w:pPr>
        <w:pageBreakBefore w:val="0"/>
        <w:tabs>
          <w:tab w:val="left" w:pos="2655"/>
        </w:tabs>
        <w:kinsoku/>
        <w:wordWrap/>
        <w:overflowPunct/>
        <w:topLinePunct w:val="0"/>
        <w:autoSpaceDE/>
        <w:autoSpaceDN/>
        <w:bidi w:val="0"/>
        <w:spacing w:line="360" w:lineRule="auto"/>
        <w:ind w:firstLine="803" w:firstLineChars="250"/>
        <w:rPr>
          <w:rFonts w:hint="eastAsia" w:ascii="仿宋" w:hAnsi="仿宋" w:eastAsia="仿宋" w:cs="仿宋"/>
          <w:b/>
          <w:sz w:val="32"/>
          <w:szCs w:val="32"/>
        </w:rPr>
      </w:pPr>
    </w:p>
    <w:p>
      <w:pPr>
        <w:pageBreakBefore w:val="0"/>
        <w:tabs>
          <w:tab w:val="left" w:pos="2655"/>
        </w:tabs>
        <w:kinsoku/>
        <w:wordWrap/>
        <w:overflowPunct/>
        <w:topLinePunct w:val="0"/>
        <w:autoSpaceDE/>
        <w:autoSpaceDN/>
        <w:bidi w:val="0"/>
        <w:spacing w:line="360" w:lineRule="auto"/>
        <w:ind w:firstLine="803" w:firstLineChars="250"/>
        <w:rPr>
          <w:rFonts w:hint="eastAsia" w:ascii="仿宋" w:hAnsi="仿宋" w:eastAsia="仿宋" w:cs="仿宋"/>
          <w:b/>
          <w:sz w:val="32"/>
          <w:szCs w:val="32"/>
        </w:rPr>
      </w:pPr>
    </w:p>
    <w:p>
      <w:pPr>
        <w:pStyle w:val="2"/>
        <w:pageBreakBefore w:val="0"/>
        <w:kinsoku/>
        <w:wordWrap/>
        <w:overflowPunct/>
        <w:topLinePunct w:val="0"/>
        <w:autoSpaceDE/>
        <w:autoSpaceDN/>
        <w:bidi w:val="0"/>
        <w:spacing w:line="360" w:lineRule="auto"/>
        <w:ind w:left="0" w:leftChars="0" w:firstLine="0" w:firstLineChars="0"/>
        <w:rPr>
          <w:rFonts w:hint="eastAsia" w:ascii="仿宋" w:hAnsi="仿宋" w:eastAsia="仿宋" w:cs="仿宋"/>
          <w:sz w:val="32"/>
          <w:szCs w:val="32"/>
        </w:rPr>
      </w:pPr>
    </w:p>
    <w:p>
      <w:pPr>
        <w:pStyle w:val="3"/>
        <w:pageBreakBefore w:val="0"/>
        <w:kinsoku/>
        <w:wordWrap/>
        <w:overflowPunct/>
        <w:topLinePunct w:val="0"/>
        <w:autoSpaceDE/>
        <w:autoSpaceDN/>
        <w:bidi w:val="0"/>
        <w:spacing w:line="360" w:lineRule="auto"/>
        <w:rPr>
          <w:rFonts w:hint="eastAsia" w:ascii="仿宋" w:hAnsi="仿宋" w:eastAsia="仿宋" w:cs="仿宋"/>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w:pict>
        <v:shape id="文本框 3"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bidi w:val="0"/>
    </w:pPr>
    <w:r>
      <w:rPr>
        <w:sz w:val="32"/>
      </w:rPr>
      <w:pict>
        <v:shape id="文本框 4" o:spid="_x0000_s409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3531C2"/>
    <w:multiLevelType w:val="singleLevel"/>
    <w:tmpl w:val="AB3531C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hmOThhZDZkZjc3MDhhODZlYTUxYWI5MjA4YWM2MjkifQ=="/>
  </w:docVars>
  <w:rsids>
    <w:rsidRoot w:val="009E3B44"/>
    <w:rsid w:val="0000392B"/>
    <w:rsid w:val="002C2D5E"/>
    <w:rsid w:val="004E41B8"/>
    <w:rsid w:val="006F0645"/>
    <w:rsid w:val="00915338"/>
    <w:rsid w:val="009E3B44"/>
    <w:rsid w:val="00A10DEE"/>
    <w:rsid w:val="00A466CA"/>
    <w:rsid w:val="00D76B0D"/>
    <w:rsid w:val="01491686"/>
    <w:rsid w:val="0AE36D74"/>
    <w:rsid w:val="14E904A9"/>
    <w:rsid w:val="168D66D7"/>
    <w:rsid w:val="19476A01"/>
    <w:rsid w:val="1AA110F5"/>
    <w:rsid w:val="1B040984"/>
    <w:rsid w:val="1D4E37F9"/>
    <w:rsid w:val="2D862A8B"/>
    <w:rsid w:val="2E8C6EFA"/>
    <w:rsid w:val="30204AA9"/>
    <w:rsid w:val="394D5C06"/>
    <w:rsid w:val="39E81604"/>
    <w:rsid w:val="416D2750"/>
    <w:rsid w:val="437B6846"/>
    <w:rsid w:val="46FA3F26"/>
    <w:rsid w:val="4E3046D1"/>
    <w:rsid w:val="50A247D5"/>
    <w:rsid w:val="555D2F70"/>
    <w:rsid w:val="5911051B"/>
    <w:rsid w:val="5AF90745"/>
    <w:rsid w:val="5D81105F"/>
    <w:rsid w:val="5DC97387"/>
    <w:rsid w:val="5DDE7CA6"/>
    <w:rsid w:val="65D90388"/>
    <w:rsid w:val="67151010"/>
    <w:rsid w:val="6B5427C8"/>
    <w:rsid w:val="6BA0533B"/>
    <w:rsid w:val="72192057"/>
    <w:rsid w:val="7A9419C0"/>
    <w:rsid w:val="7BB9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6">
    <w:name w:val="heading 2"/>
    <w:basedOn w:val="1"/>
    <w:next w:val="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7">
    <w:name w:val="heading 3"/>
    <w:basedOn w:val="1"/>
    <w:next w:val="1"/>
    <w:link w:val="21"/>
    <w:qFormat/>
    <w:uiPriority w:val="99"/>
    <w:pPr>
      <w:keepNext/>
      <w:keepLines/>
      <w:spacing w:before="260" w:after="260"/>
      <w:ind w:firstLine="200" w:firstLineChars="200"/>
      <w:jc w:val="center"/>
      <w:outlineLvl w:val="2"/>
    </w:pPr>
    <w:rPr>
      <w:rFonts w:ascii="Calibri" w:hAnsi="Calibri" w:eastAsia="黑体" w:cs="Times New Roman"/>
      <w:sz w:val="30"/>
      <w:szCs w:val="30"/>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styleId="4">
    <w:name w:val="Body Text 2"/>
    <w:basedOn w:val="1"/>
    <w:qFormat/>
    <w:uiPriority w:val="0"/>
    <w:pPr>
      <w:spacing w:after="120" w:line="480" w:lineRule="auto"/>
    </w:pPr>
  </w:style>
  <w:style w:type="paragraph" w:styleId="8">
    <w:name w:val="Body Text Indent"/>
    <w:basedOn w:val="1"/>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toc 1"/>
    <w:basedOn w:val="1"/>
    <w:next w:val="1"/>
    <w:qFormat/>
    <w:uiPriority w:val="0"/>
    <w:pPr>
      <w:adjustRightInd w:val="0"/>
      <w:snapToGrid w:val="0"/>
      <w:ind w:firstLine="0" w:firstLineChars="0"/>
    </w:pPr>
  </w:style>
  <w:style w:type="paragraph" w:styleId="11">
    <w:name w:val="toc 2"/>
    <w:basedOn w:val="1"/>
    <w:next w:val="1"/>
    <w:qFormat/>
    <w:uiPriority w:val="0"/>
    <w:pPr>
      <w:ind w:left="420" w:leftChars="200" w:firstLine="0" w:firstLineChars="0"/>
    </w:pPr>
  </w:style>
  <w:style w:type="paragraph" w:styleId="12">
    <w:name w:val="Normal (Web)"/>
    <w:basedOn w:val="1"/>
    <w:semiHidden/>
    <w:unhideWhenUsed/>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styleId="13">
    <w:name w:val="Body Text First Indent"/>
    <w:basedOn w:val="3"/>
    <w:next w:val="14"/>
    <w:qFormat/>
    <w:uiPriority w:val="0"/>
    <w:pPr>
      <w:ind w:firstLine="420" w:firstLineChars="100"/>
    </w:pPr>
  </w:style>
  <w:style w:type="paragraph" w:styleId="14">
    <w:name w:val="Body Text First Indent 2"/>
    <w:basedOn w:val="8"/>
    <w:qFormat/>
    <w:uiPriority w:val="99"/>
    <w:pPr>
      <w:spacing w:line="240" w:lineRule="auto"/>
      <w:ind w:firstLine="0" w:firstLineChars="0"/>
    </w:pPr>
    <w:rPr>
      <w:rFonts w:ascii="Times New Roman" w:hAnsi="Times New Roman"/>
      <w:sz w:val="28"/>
      <w:szCs w:val="28"/>
    </w:rPr>
  </w:style>
  <w:style w:type="table" w:styleId="16">
    <w:name w:val="Table Grid"/>
    <w:basedOn w:val="1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semiHidden/>
    <w:unhideWhenUsed/>
    <w:qFormat/>
    <w:uiPriority w:val="99"/>
    <w:rPr>
      <w:color w:val="000000"/>
      <w:u w:val="none"/>
    </w:rPr>
  </w:style>
  <w:style w:type="character" w:styleId="19">
    <w:name w:val="Hyperlink"/>
    <w:basedOn w:val="17"/>
    <w:semiHidden/>
    <w:unhideWhenUsed/>
    <w:qFormat/>
    <w:uiPriority w:val="99"/>
    <w:rPr>
      <w:color w:val="000000"/>
      <w:u w:val="none"/>
    </w:rPr>
  </w:style>
  <w:style w:type="paragraph" w:customStyle="1" w:styleId="20">
    <w:name w:val="Body Text 21"/>
    <w:basedOn w:val="1"/>
    <w:qFormat/>
    <w:uiPriority w:val="0"/>
    <w:pPr>
      <w:spacing w:line="480" w:lineRule="auto"/>
    </w:pPr>
  </w:style>
  <w:style w:type="character" w:customStyle="1" w:styleId="21">
    <w:name w:val="标题 3 Char"/>
    <w:basedOn w:val="17"/>
    <w:link w:val="7"/>
    <w:qFormat/>
    <w:uiPriority w:val="99"/>
    <w:rPr>
      <w:rFonts w:ascii="Calibri" w:hAnsi="Calibri" w:eastAsia="黑体" w:cs="Times New Roman"/>
      <w:sz w:val="30"/>
      <w:szCs w:val="30"/>
    </w:rPr>
  </w:style>
  <w:style w:type="paragraph" w:customStyle="1" w:styleId="22">
    <w:name w:val="BodyText1I2"/>
    <w:basedOn w:val="23"/>
    <w:next w:val="1"/>
    <w:qFormat/>
    <w:uiPriority w:val="0"/>
    <w:pPr>
      <w:ind w:firstLine="420" w:firstLineChars="200"/>
    </w:pPr>
  </w:style>
  <w:style w:type="paragraph" w:customStyle="1" w:styleId="23">
    <w:name w:val="BodyTextIndent"/>
    <w:basedOn w:val="1"/>
    <w:qFormat/>
    <w:uiPriority w:val="0"/>
    <w:pPr>
      <w:spacing w:after="120"/>
      <w:ind w:left="420" w:leftChars="200"/>
      <w:textAlignment w:val="baseline"/>
    </w:pPr>
  </w:style>
  <w:style w:type="paragraph" w:customStyle="1" w:styleId="24">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5">
    <w:name w:val="表头"/>
    <w:basedOn w:val="1"/>
    <w:next w:val="1"/>
    <w:qFormat/>
    <w:uiPriority w:val="0"/>
    <w:pPr>
      <w:ind w:firstLine="0" w:firstLineChars="0"/>
      <w:jc w:val="center"/>
    </w:pPr>
  </w:style>
  <w:style w:type="paragraph" w:customStyle="1" w:styleId="26">
    <w:name w:val="表格"/>
    <w:basedOn w:val="1"/>
    <w:next w:val="1"/>
    <w:qFormat/>
    <w:uiPriority w:val="0"/>
    <w:pPr>
      <w:adjustRightInd w:val="0"/>
      <w:snapToGrid w:val="0"/>
      <w:spacing w:line="240" w:lineRule="auto"/>
      <w:ind w:firstLine="0" w:firstLineChars="0"/>
      <w:jc w:val="center"/>
    </w:pPr>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9840</Words>
  <Characters>10456</Characters>
  <Lines>18</Lines>
  <Paragraphs>5</Paragraphs>
  <TotalTime>71</TotalTime>
  <ScaleCrop>false</ScaleCrop>
  <LinksUpToDate>false</LinksUpToDate>
  <CharactersWithSpaces>11253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2022-06-13T07:10:00Z</dcterms:created>
  <dc:creator>Administrator</dc:creator>
  <cp:lastModifiedBy>如风似雨</cp:lastModifiedBy>
  <cp:lastPrinted>2022-08-29T08:42:19Z</cp:lastPrinted>
  <dcterms:modified xsi:type="dcterms:W3CDTF">2022-08-29T08:48:06Z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D4971C1DBE7241E19B323E47BE251C54</vt:lpwstr>
  </property>
</Properties>
</file>