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rPr>
          <w:rFonts w:hint="eastAsia" w:ascii="华文仿宋" w:hAnsi="华文仿宋" w:eastAsia="华文仿宋" w:cs="华文仿宋"/>
          <w:b/>
          <w:bCs/>
          <w:sz w:val="32"/>
          <w:szCs w:val="32"/>
          <w:lang w:eastAsia="zh-CN"/>
        </w:rPr>
      </w:pPr>
      <w:r>
        <w:rPr>
          <w:rFonts w:hint="eastAsia" w:ascii="华文仿宋" w:hAnsi="华文仿宋" w:eastAsia="华文仿宋" w:cs="华文仿宋"/>
          <w:b/>
          <w:bCs/>
          <w:sz w:val="32"/>
          <w:szCs w:val="32"/>
          <w:lang w:eastAsia="zh-CN"/>
        </w:rPr>
        <w:drawing>
          <wp:inline distT="0" distB="0" distL="114300" distR="114300">
            <wp:extent cx="5259070" cy="7579995"/>
            <wp:effectExtent l="0" t="0" r="17780" b="1905"/>
            <wp:docPr id="1" name="图片 1" descr="CCF20220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CF20220902"/>
                    <pic:cNvPicPr>
                      <a:picLocks noChangeAspect="1"/>
                    </pic:cNvPicPr>
                  </pic:nvPicPr>
                  <pic:blipFill>
                    <a:blip r:embed="rId8"/>
                    <a:stretch>
                      <a:fillRect/>
                    </a:stretch>
                  </pic:blipFill>
                  <pic:spPr>
                    <a:xfrm>
                      <a:off x="0" y="0"/>
                      <a:ext cx="5259070" cy="7579995"/>
                    </a:xfrm>
                    <a:prstGeom prst="rect">
                      <a:avLst/>
                    </a:prstGeom>
                  </pic:spPr>
                </pic:pic>
              </a:graphicData>
            </a:graphic>
          </wp:inline>
        </w:drawing>
      </w:r>
      <w:bookmarkStart w:id="40" w:name="_GoBack"/>
      <w:bookmarkEnd w:id="40"/>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580" w:lineRule="exact"/>
        <w:ind w:firstLine="0" w:firstLineChars="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2"/>
        <w:bidi w:val="0"/>
        <w:ind w:left="0" w:leftChars="0" w:right="0" w:rightChars="0" w:firstLine="0" w:firstLineChars="0"/>
        <w:jc w:val="center"/>
        <w:rPr>
          <w:rFonts w:hint="eastAsia"/>
          <w:b/>
          <w:bCs/>
          <w:sz w:val="36"/>
          <w:szCs w:val="36"/>
        </w:rPr>
      </w:pPr>
      <w:bookmarkStart w:id="0" w:name="_Toc27722"/>
      <w:r>
        <w:rPr>
          <w:rFonts w:hint="eastAsia"/>
          <w:b/>
          <w:bCs/>
          <w:sz w:val="36"/>
          <w:szCs w:val="36"/>
        </w:rPr>
        <w:t>目  录</w:t>
      </w:r>
    </w:p>
    <w:p>
      <w:pPr>
        <w:pStyle w:val="10"/>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2</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3</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3</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9</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fldChar w:fldCharType="begin"/>
      </w:r>
      <w:r>
        <w:instrText xml:space="preserve"> PAGEREF _Toc1104 \h </w:instrText>
      </w:r>
      <w:r>
        <w:fldChar w:fldCharType="separate"/>
      </w:r>
      <w:r>
        <w:t>15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16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16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16</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17</w:t>
      </w:r>
      <w:r>
        <w:fldChar w:fldCharType="end"/>
      </w:r>
      <w:r>
        <w:rPr>
          <w:rFonts w:hint="eastAsia"/>
        </w:rPr>
        <w:fldChar w:fldCharType="end"/>
      </w:r>
    </w:p>
    <w:p>
      <w:pPr>
        <w:pStyle w:val="22"/>
        <w:bidi w:val="0"/>
        <w:rPr>
          <w:rFonts w:hint="eastAsia"/>
        </w:rPr>
      </w:pPr>
      <w:r>
        <w:rPr>
          <w:rFonts w:hint="eastAsia"/>
        </w:rPr>
        <w:fldChar w:fldCharType="end"/>
      </w:r>
    </w:p>
    <w:p>
      <w:pPr>
        <w:pStyle w:val="22"/>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0"/>
    <w:p>
      <w:pPr>
        <w:bidi w:val="0"/>
        <w:ind w:left="0" w:leftChars="0" w:right="0" w:rightChars="0" w:firstLine="0" w:firstLineChars="0"/>
        <w:jc w:val="center"/>
        <w:outlineLvl w:val="9"/>
        <w:rPr>
          <w:rFonts w:hint="eastAsia" w:ascii="黑体" w:hAnsi="黑体" w:eastAsia="黑体" w:cs="黑体"/>
          <w:b/>
          <w:bCs/>
          <w:sz w:val="44"/>
          <w:szCs w:val="36"/>
          <w:highlight w:val="none"/>
          <w:lang w:eastAsia="zh-CN"/>
        </w:rPr>
      </w:pPr>
      <w:bookmarkStart w:id="1" w:name="_Toc28057"/>
      <w:bookmarkStart w:id="2" w:name="_Toc23630"/>
      <w:bookmarkStart w:id="3" w:name="_Toc6550"/>
      <w:bookmarkStart w:id="4" w:name="_Toc27842"/>
      <w:bookmarkStart w:id="5" w:name="_Toc12961"/>
      <w:r>
        <w:rPr>
          <w:rFonts w:hint="eastAsia" w:ascii="黑体" w:hAnsi="黑体" w:eastAsia="黑体" w:cs="黑体"/>
          <w:b/>
          <w:bCs/>
          <w:sz w:val="44"/>
          <w:szCs w:val="36"/>
          <w:highlight w:val="none"/>
          <w:lang w:eastAsia="zh-CN"/>
        </w:rPr>
        <w:t>太康县委巡察办</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1"/>
      <w:bookmarkEnd w:id="2"/>
      <w:bookmarkEnd w:id="3"/>
      <w:bookmarkEnd w:id="4"/>
      <w:bookmarkEnd w:id="5"/>
    </w:p>
    <w:p>
      <w:pPr>
        <w:pStyle w:val="22"/>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6" w:name="_Toc3240"/>
      <w:r>
        <w:rPr>
          <w:rFonts w:hint="eastAsia"/>
          <w:color w:val="auto"/>
          <w:lang w:val="en-US" w:eastAsia="zh-CN"/>
        </w:rPr>
        <w:t>一、</w:t>
      </w:r>
      <w:r>
        <w:rPr>
          <w:rFonts w:hint="eastAsia"/>
          <w:color w:val="auto"/>
        </w:rPr>
        <w:t>基本情况</w:t>
      </w:r>
      <w:bookmarkEnd w:id="6"/>
    </w:p>
    <w:p>
      <w:pPr>
        <w:pStyle w:val="4"/>
        <w:bidi w:val="0"/>
        <w:rPr>
          <w:rFonts w:hint="eastAsia"/>
        </w:rPr>
      </w:pPr>
      <w:bookmarkStart w:id="7" w:name="_Toc14104"/>
      <w:r>
        <w:rPr>
          <w:rFonts w:hint="eastAsia"/>
        </w:rPr>
        <w:t>（一）单位简介</w:t>
      </w:r>
      <w:bookmarkEnd w:id="7"/>
    </w:p>
    <w:p>
      <w:pPr>
        <w:keepNext w:val="0"/>
        <w:keepLines w:val="0"/>
        <w:widowControl/>
        <w:suppressLineNumbers w:val="0"/>
        <w:jc w:val="left"/>
        <w:rPr>
          <w:rFonts w:hint="eastAsia" w:ascii="仿宋" w:hAnsi="仿宋" w:cs="仿宋"/>
          <w:color w:val="000000"/>
          <w:kern w:val="0"/>
          <w:sz w:val="31"/>
          <w:szCs w:val="31"/>
          <w:lang w:val="en-US" w:eastAsia="zh-CN" w:bidi="ar"/>
        </w:rPr>
      </w:pPr>
      <w:r>
        <w:rPr>
          <w:rFonts w:ascii="仿宋" w:hAnsi="仿宋" w:eastAsia="仿宋" w:cs="仿宋"/>
          <w:color w:val="000000"/>
          <w:kern w:val="0"/>
          <w:sz w:val="31"/>
          <w:szCs w:val="31"/>
          <w:lang w:val="en-US" w:eastAsia="zh-CN" w:bidi="ar"/>
        </w:rPr>
        <w:t>太康县委巡察工作领导小组办公室机构规格为行政编制正</w:t>
      </w:r>
      <w:r>
        <w:rPr>
          <w:rFonts w:hint="eastAsia" w:ascii="仿宋" w:hAnsi="仿宋" w:eastAsia="仿宋" w:cs="仿宋"/>
          <w:color w:val="000000"/>
          <w:kern w:val="0"/>
          <w:sz w:val="31"/>
          <w:szCs w:val="31"/>
          <w:lang w:val="en-US" w:eastAsia="zh-CN" w:bidi="ar"/>
        </w:rPr>
        <w:t>科级，21人，实有21人，事业编制5人；单位性质：行政机关；经费预算性质：财政预算拨款；内设部门：办公室，督查室，信息中心。</w:t>
      </w:r>
      <w:r>
        <w:rPr>
          <w:rFonts w:hint="eastAsia" w:ascii="仿宋" w:hAnsi="仿宋" w:cs="仿宋"/>
          <w:color w:val="000000"/>
          <w:kern w:val="0"/>
          <w:sz w:val="31"/>
          <w:szCs w:val="31"/>
          <w:lang w:val="en-US" w:eastAsia="zh-CN" w:bidi="ar"/>
        </w:rPr>
        <w:t>成立</w:t>
      </w:r>
      <w:r>
        <w:rPr>
          <w:rFonts w:hint="eastAsia" w:ascii="仿宋" w:hAnsi="仿宋" w:eastAsia="仿宋" w:cs="仿宋"/>
          <w:color w:val="000000"/>
          <w:kern w:val="0"/>
          <w:sz w:val="31"/>
          <w:szCs w:val="31"/>
          <w:lang w:val="en-US" w:eastAsia="zh-CN" w:bidi="ar"/>
        </w:rPr>
        <w:t>县委第一、第二、第三、第四、第五、第六、第七、第八巡察组</w:t>
      </w:r>
      <w:r>
        <w:rPr>
          <w:rFonts w:hint="eastAsia" w:ascii="仿宋" w:hAnsi="仿宋" w:cs="仿宋"/>
          <w:color w:val="000000"/>
          <w:kern w:val="0"/>
          <w:sz w:val="31"/>
          <w:szCs w:val="31"/>
          <w:lang w:val="en-US" w:eastAsia="zh-CN" w:bidi="ar"/>
        </w:rPr>
        <w:t>。</w:t>
      </w:r>
    </w:p>
    <w:p>
      <w:pPr>
        <w:keepNext w:val="0"/>
        <w:keepLines w:val="0"/>
        <w:widowControl/>
        <w:suppressLineNumbers w:val="0"/>
        <w:jc w:val="left"/>
      </w:pPr>
      <w:r>
        <w:rPr>
          <w:rFonts w:ascii="仿宋" w:hAnsi="仿宋" w:eastAsia="仿宋" w:cs="仿宋"/>
          <w:color w:val="000000"/>
          <w:kern w:val="0"/>
          <w:sz w:val="31"/>
          <w:szCs w:val="31"/>
          <w:lang w:val="en-US" w:eastAsia="zh-CN" w:bidi="ar"/>
        </w:rPr>
        <w:t xml:space="preserve">（一）向县委、巡察领导小组报告工作情况，传达贯彻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县委、巡察领导小组的决策和部署。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（二）统筹、协调、指导县委巡察组开展巡察工作。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（三）指导督导全县巡察工作。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（四）对县委、巡察领导小组决定的事项和巡察整改落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实情况进行督查督办。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（五）承担巡察政策研究、制度建设、服务保障等工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作。</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（六）配合有关部门对巡察机构工作人员进行培训、考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核、监督和管理。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（七）完成县委交办的其他任务。</w:t>
      </w:r>
    </w:p>
    <w:p>
      <w:pPr>
        <w:pStyle w:val="4"/>
        <w:bidi w:val="0"/>
      </w:pPr>
      <w:bookmarkStart w:id="8" w:name="_Toc27471"/>
      <w:r>
        <w:rPr>
          <w:rFonts w:hint="eastAsia"/>
        </w:rPr>
        <w:t>（二）</w:t>
      </w:r>
      <w:r>
        <w:t>年度部门总目标及主要任务</w:t>
      </w:r>
      <w:bookmarkEnd w:id="8"/>
    </w:p>
    <w:p>
      <w:pPr>
        <w:pStyle w:val="22"/>
        <w:bidi w:val="0"/>
        <w:rPr>
          <w:highlight w:val="none"/>
        </w:rPr>
      </w:pPr>
      <w:bookmarkStart w:id="9" w:name="_Toc18200"/>
      <w:bookmarkStart w:id="10" w:name="_Toc5610"/>
      <w:bookmarkStart w:id="11" w:name="_Toc21119"/>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9"/>
      <w:bookmarkEnd w:id="10"/>
      <w:bookmarkEnd w:id="11"/>
    </w:p>
    <w:p>
      <w:pPr>
        <w:pStyle w:val="5"/>
        <w:bidi w:val="0"/>
      </w:pPr>
      <w:r>
        <w:rPr>
          <w:rFonts w:hint="eastAsia"/>
        </w:rPr>
        <w:t>1.年度总体目标</w:t>
      </w:r>
    </w:p>
    <w:p>
      <w:pPr>
        <w:pStyle w:val="22"/>
        <w:bidi w:val="0"/>
        <w:rPr>
          <w:rFonts w:hint="eastAsia"/>
          <w:highlight w:val="none"/>
          <w:lang w:val="en-US" w:eastAsia="zh-CN"/>
        </w:rPr>
      </w:pPr>
      <w:r>
        <w:rPr>
          <w:rFonts w:hint="eastAsia"/>
          <w:highlight w:val="none"/>
        </w:rPr>
        <w:t>目标1：</w:t>
      </w:r>
      <w:r>
        <w:rPr>
          <w:rFonts w:hint="eastAsia"/>
          <w:highlight w:val="none"/>
          <w:lang w:val="en-US" w:eastAsia="zh-CN"/>
        </w:rPr>
        <w:t>向县委、巡察领导小组报告工作情况，传达贯彻 县委、巡察领导小组的决策和部署。 统筹、协调、指导县委巡察组开展巡察工作，指导督导全县巡察工作。</w:t>
      </w:r>
    </w:p>
    <w:p>
      <w:pPr>
        <w:pStyle w:val="22"/>
        <w:bidi w:val="0"/>
        <w:rPr>
          <w:highlight w:val="none"/>
        </w:rPr>
      </w:pPr>
      <w:r>
        <w:rPr>
          <w:rFonts w:hint="eastAsia"/>
          <w:highlight w:val="none"/>
        </w:rPr>
        <w:t>目标2：对县委、巡察领导小组决定的事项和巡察整改落 实情况进行督查督办，承担巡察政策研究、制度建设、服务保障等工作。</w:t>
      </w:r>
    </w:p>
    <w:p>
      <w:pPr>
        <w:pStyle w:val="22"/>
        <w:bidi w:val="0"/>
        <w:rPr>
          <w:highlight w:val="none"/>
        </w:rPr>
      </w:pPr>
      <w:r>
        <w:rPr>
          <w:rFonts w:hint="eastAsia"/>
          <w:highlight w:val="none"/>
        </w:rPr>
        <w:t>目标3：配合有关部门对巡察机构工作人员进行培训、考 核、监督和管理，完成县委交办的其他任务。</w:t>
      </w:r>
    </w:p>
    <w:p>
      <w:pPr>
        <w:pStyle w:val="5"/>
        <w:bidi w:val="0"/>
      </w:pPr>
      <w:r>
        <w:rPr>
          <w:rFonts w:hint="eastAsia"/>
        </w:rPr>
        <w:t>2.年度主要工作内容</w:t>
      </w:r>
    </w:p>
    <w:p>
      <w:pPr>
        <w:pStyle w:val="22"/>
        <w:bidi w:val="0"/>
        <w:rPr>
          <w:rFonts w:hint="eastAsia"/>
          <w:highlight w:val="none"/>
        </w:rPr>
      </w:pPr>
      <w:r>
        <w:rPr>
          <w:rFonts w:hint="eastAsia"/>
          <w:highlight w:val="none"/>
        </w:rPr>
        <w:t>任务1：向县委汇报巡察工作</w:t>
      </w:r>
    </w:p>
    <w:p>
      <w:pPr>
        <w:pStyle w:val="22"/>
        <w:bidi w:val="0"/>
        <w:rPr>
          <w:highlight w:val="none"/>
        </w:rPr>
      </w:pPr>
      <w:r>
        <w:rPr>
          <w:rFonts w:hint="eastAsia"/>
          <w:highlight w:val="none"/>
        </w:rPr>
        <w:t>任务2：按照县委部署开展全县巡察工作</w:t>
      </w:r>
    </w:p>
    <w:p>
      <w:pPr>
        <w:pStyle w:val="22"/>
        <w:bidi w:val="0"/>
        <w:rPr>
          <w:highlight w:val="none"/>
        </w:rPr>
      </w:pPr>
      <w:r>
        <w:rPr>
          <w:rFonts w:hint="eastAsia"/>
          <w:highlight w:val="none"/>
        </w:rPr>
        <w:t>任务3：对被巡视对象的事项进行巡视巡察整改落实</w:t>
      </w:r>
    </w:p>
    <w:p>
      <w:pPr>
        <w:pStyle w:val="22"/>
        <w:bidi w:val="0"/>
        <w:rPr>
          <w:b/>
          <w:bCs/>
          <w:highlight w:val="none"/>
        </w:rPr>
      </w:pPr>
      <w:r>
        <w:rPr>
          <w:rFonts w:hint="eastAsia"/>
          <w:highlight w:val="none"/>
        </w:rPr>
        <w:t>任务4：对巡察机构工作人员培训、考核、监督</w:t>
      </w:r>
    </w:p>
    <w:p>
      <w:pPr>
        <w:pStyle w:val="22"/>
        <w:bidi w:val="0"/>
        <w:rPr>
          <w:highlight w:val="none"/>
        </w:rPr>
      </w:pPr>
    </w:p>
    <w:p>
      <w:pPr>
        <w:pStyle w:val="5"/>
        <w:bidi w:val="0"/>
      </w:pPr>
      <w:r>
        <w:rPr>
          <w:rFonts w:hint="eastAsia"/>
        </w:rPr>
        <w:t>3.</w:t>
      </w:r>
      <w:r>
        <w:t>年度部门整体预算绩效目标、绩效指标设定情况</w:t>
      </w:r>
    </w:p>
    <w:p>
      <w:pPr>
        <w:pStyle w:val="22"/>
        <w:bidi w:val="0"/>
        <w:rPr>
          <w:rFonts w:hint="eastAsia"/>
        </w:rPr>
      </w:pPr>
      <w:bookmarkStart w:id="12" w:name="_Toc12027"/>
      <w:bookmarkStart w:id="13" w:name="_Toc23108"/>
      <w:bookmarkStart w:id="14" w:name="_Toc25009"/>
      <w:bookmarkStart w:id="15" w:name="_Toc10759"/>
      <w:bookmarkStart w:id="16" w:name="_Toc19880"/>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2"/>
      <w:bookmarkEnd w:id="13"/>
      <w:bookmarkEnd w:id="14"/>
      <w:bookmarkEnd w:id="15"/>
      <w:bookmarkEnd w:id="16"/>
    </w:p>
    <w:p>
      <w:pPr>
        <w:pStyle w:val="22"/>
        <w:bidi w:val="0"/>
      </w:pPr>
      <w:r>
        <w:rPr>
          <w:rFonts w:hint="eastAsia"/>
        </w:rPr>
        <w:t>本</w:t>
      </w:r>
      <w:r>
        <w:rPr>
          <w:rFonts w:hint="eastAsia"/>
          <w:highlight w:val="none"/>
        </w:rPr>
        <w:t>次自评指标体系包括3个一级指标、9个二级指标、</w:t>
      </w:r>
      <w:r>
        <w:rPr>
          <w:rFonts w:hint="eastAsia"/>
          <w:highlight w:val="none"/>
          <w:lang w:val="en-US" w:eastAsia="zh-CN"/>
        </w:rPr>
        <w:t>28</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二级指标从整体工作目标管理情况、预算和财务管理、绩效管理、重点工作任务完成、履职目标实现、履职社会效益、履职生态效益、可持续性发展、满意度9个方面对一级指标进行细化评</w:t>
      </w:r>
      <w:r>
        <w:rPr>
          <w:rFonts w:hint="eastAsia"/>
        </w:rPr>
        <w:t>价，三级指标是对二级指标的细化、量化。</w:t>
      </w:r>
    </w:p>
    <w:p>
      <w:pPr>
        <w:pStyle w:val="3"/>
        <w:bidi w:val="0"/>
        <w:rPr>
          <w:color w:val="auto"/>
        </w:rPr>
      </w:pPr>
      <w:bookmarkStart w:id="17" w:name="_Toc31554"/>
      <w:r>
        <w:rPr>
          <w:rFonts w:hint="eastAsia"/>
          <w:color w:val="auto"/>
        </w:rPr>
        <w:t>二</w:t>
      </w:r>
      <w:r>
        <w:rPr>
          <w:color w:val="auto"/>
        </w:rPr>
        <w:t>、绩效自评工作开展情况</w:t>
      </w:r>
      <w:bookmarkEnd w:id="17"/>
    </w:p>
    <w:p>
      <w:pPr>
        <w:pStyle w:val="4"/>
        <w:bidi w:val="0"/>
      </w:pPr>
      <w:bookmarkStart w:id="18" w:name="_Toc12307"/>
      <w:r>
        <w:rPr>
          <w:rFonts w:hint="eastAsia"/>
          <w:lang w:val="en-US" w:eastAsia="zh-CN"/>
        </w:rPr>
        <w:t>（一）评价方法</w:t>
      </w:r>
      <w:bookmarkEnd w:id="18"/>
    </w:p>
    <w:p>
      <w:pPr>
        <w:pStyle w:val="22"/>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2"/>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2"/>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19" w:name="_Toc25686"/>
      <w:r>
        <w:rPr>
          <w:rFonts w:hint="eastAsia"/>
          <w:lang w:val="en-US" w:eastAsia="zh-CN"/>
        </w:rPr>
        <w:t>（二）工作程序</w:t>
      </w:r>
      <w:bookmarkEnd w:id="19"/>
    </w:p>
    <w:p>
      <w:pPr>
        <w:pStyle w:val="22"/>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0" w:name="_Toc3418"/>
      <w:r>
        <w:rPr>
          <w:rFonts w:hint="eastAsia"/>
          <w:color w:val="auto"/>
        </w:rPr>
        <w:t>三</w:t>
      </w:r>
      <w:r>
        <w:rPr>
          <w:color w:val="auto"/>
        </w:rPr>
        <w:t>、综合评价结论</w:t>
      </w:r>
      <w:bookmarkEnd w:id="20"/>
    </w:p>
    <w:p>
      <w:pPr>
        <w:pStyle w:val="22"/>
        <w:bidi w:val="0"/>
        <w:rPr>
          <w:rFonts w:hint="eastAsia"/>
          <w:highlight w:val="none"/>
        </w:rPr>
      </w:pPr>
      <w:r>
        <w:t>依据自评指标体系，通过对</w:t>
      </w:r>
      <w:r>
        <w:rPr>
          <w:rFonts w:hint="eastAsia"/>
        </w:rPr>
        <w:t>预算执行情况、投入管理指标、产出指</w:t>
      </w:r>
      <w:r>
        <w:rPr>
          <w:rFonts w:hint="eastAsia"/>
          <w:highlight w:val="none"/>
        </w:rPr>
        <w:t>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w:t>
      </w:r>
      <w:r>
        <w:t>自评得分为</w:t>
      </w:r>
      <w:r>
        <w:rPr>
          <w:rFonts w:hint="eastAsia"/>
          <w:lang w:val="en-US" w:eastAsia="zh-CN"/>
        </w:rPr>
        <w:t>98</w:t>
      </w:r>
      <w:r>
        <w:t>分，评价等级为</w:t>
      </w:r>
      <w:r>
        <w:rPr>
          <w:rFonts w:hint="eastAsia"/>
        </w:rPr>
        <w:t>“</w:t>
      </w:r>
      <w:r>
        <w:rPr>
          <w:rFonts w:hint="eastAsia"/>
          <w:lang w:val="en-US" w:eastAsia="zh-CN"/>
        </w:rPr>
        <w:t>优</w:t>
      </w:r>
      <w:r>
        <w:rPr>
          <w:rFonts w:hint="eastAsia"/>
        </w:rPr>
        <w:t>”。</w:t>
      </w:r>
      <w:r>
        <w:t>其中，预算执行率一项得分</w:t>
      </w:r>
      <w:r>
        <w:rPr>
          <w:rFonts w:hint="eastAsia"/>
          <w:lang w:val="en-US" w:eastAsia="zh-CN"/>
        </w:rPr>
        <w:t>10</w:t>
      </w:r>
      <w:r>
        <w:t>分，</w:t>
      </w:r>
      <w:r>
        <w:rPr>
          <w:rFonts w:hint="eastAsia"/>
        </w:rPr>
        <w:t>投入管理</w:t>
      </w:r>
      <w:r>
        <w:t>指标得分</w:t>
      </w:r>
      <w:r>
        <w:rPr>
          <w:rFonts w:hint="eastAsia"/>
          <w:lang w:val="en-US" w:eastAsia="zh-CN"/>
        </w:rPr>
        <w:t>29</w:t>
      </w:r>
      <w:r>
        <w:t>分，</w:t>
      </w:r>
      <w:r>
        <w:rPr>
          <w:rFonts w:hint="eastAsia"/>
        </w:rPr>
        <w:t>产出指标得分</w:t>
      </w:r>
      <w:r>
        <w:rPr>
          <w:rFonts w:hint="eastAsia"/>
          <w:lang w:val="en-US" w:eastAsia="zh-CN"/>
        </w:rPr>
        <w:t>25</w:t>
      </w:r>
      <w:r>
        <w:t>分</w:t>
      </w:r>
      <w:r>
        <w:rPr>
          <w:rFonts w:hint="eastAsia"/>
        </w:rPr>
        <w:t>，效益指标得分</w:t>
      </w:r>
      <w:r>
        <w:rPr>
          <w:rFonts w:hint="eastAsia"/>
          <w:lang w:val="en-US" w:eastAsia="zh-CN"/>
        </w:rPr>
        <w:t>34</w:t>
      </w:r>
      <w:r>
        <w:t>分</w:t>
      </w:r>
      <w:r>
        <w:rPr>
          <w:rFonts w:hint="eastAsia"/>
        </w:rPr>
        <w:t>；</w:t>
      </w:r>
      <w:r>
        <w:t>总体得分情况如下表3-1，</w:t>
      </w:r>
      <w:r>
        <w:rPr>
          <w:highlight w:val="none"/>
        </w:rPr>
        <w:t>具体指标得分情况详见表3-</w:t>
      </w:r>
      <w:r>
        <w:rPr>
          <w:rFonts w:hint="eastAsia"/>
          <w:highlight w:val="none"/>
          <w:lang w:val="en-US" w:eastAsia="zh-CN"/>
        </w:rPr>
        <w:t>2</w:t>
      </w:r>
      <w:r>
        <w:rPr>
          <w:rFonts w:hint="eastAsia"/>
          <w:highlight w:val="none"/>
        </w:rPr>
        <w:t>；</w:t>
      </w:r>
    </w:p>
    <w:p>
      <w:pPr>
        <w:pStyle w:val="22"/>
        <w:bidi w:val="0"/>
        <w:rPr>
          <w:rFonts w:hint="eastAsia"/>
        </w:rPr>
      </w:pPr>
    </w:p>
    <w:p>
      <w:pPr>
        <w:pStyle w:val="19"/>
        <w:bidi w:val="0"/>
      </w:pPr>
      <w:r>
        <w:rPr>
          <w:rFonts w:hint="eastAsia"/>
        </w:rPr>
        <w:t>表</w:t>
      </w:r>
      <w:r>
        <w:t xml:space="preserve">3-1 </w:t>
      </w:r>
      <w:r>
        <w:rPr>
          <w:rFonts w:hint="eastAsia"/>
        </w:rPr>
        <w:t>部门整体得分情况</w:t>
      </w:r>
    </w:p>
    <w:tbl>
      <w:tblPr>
        <w:tblStyle w:val="16"/>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96.67%</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97.14%</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29</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34</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98</w:t>
            </w:r>
          </w:p>
        </w:tc>
      </w:tr>
    </w:tbl>
    <w:p>
      <w:pPr>
        <w:pStyle w:val="19"/>
        <w:bidi w:val="0"/>
      </w:pPr>
      <w:r>
        <w:t>表3-2 各项指标得分情况表</w:t>
      </w:r>
    </w:p>
    <w:tbl>
      <w:tblPr>
        <w:tblStyle w:val="15"/>
        <w:tblW w:w="4998" w:type="pct"/>
        <w:jc w:val="center"/>
        <w:tblLayout w:type="autofit"/>
        <w:tblCellMar>
          <w:top w:w="0" w:type="dxa"/>
          <w:left w:w="108" w:type="dxa"/>
          <w:bottom w:w="0" w:type="dxa"/>
          <w:right w:w="108" w:type="dxa"/>
        </w:tblCellMar>
      </w:tblPr>
      <w:tblGrid>
        <w:gridCol w:w="974"/>
        <w:gridCol w:w="1430"/>
        <w:gridCol w:w="2430"/>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57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一级指标</w:t>
            </w:r>
          </w:p>
        </w:tc>
        <w:tc>
          <w:tcPr>
            <w:tcW w:w="83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二级指标</w:t>
            </w:r>
          </w:p>
        </w:tc>
        <w:tc>
          <w:tcPr>
            <w:tcW w:w="142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预算执行率</w:t>
            </w:r>
          </w:p>
        </w:tc>
        <w:tc>
          <w:tcPr>
            <w:tcW w:w="8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预算执行率</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57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投入管理指标</w:t>
            </w: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工作目标管理</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年度履职目标相关性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工作任务科学性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绩效指标合理性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基本合理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预算和财务管理</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预算编制完整性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专项资金细化率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&gt;90%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90%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预算调整率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≤10%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6%</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结转结余率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lang w:val="en-US" w:eastAsia="zh-CN"/>
              </w:rPr>
              <w:t>20</w:t>
            </w:r>
            <w:r>
              <w:rPr>
                <w:rFonts w:hint="eastAsia"/>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“三公经”控制率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95%</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政府采购执行率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&gt;100%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决算真实性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资金使用合规性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管理制度健全性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预决算信息公幵性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公开</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公开</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资产管理规范性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1</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绩效管理</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绩效监控完成率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绩效自评完成率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部门绩效评价完成率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评价结果应用率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kern w:val="2"/>
                <w:sz w:val="24"/>
                <w:szCs w:val="24"/>
                <w:lang w:val="en-US" w:eastAsia="zh-CN" w:bidi="ar-SA"/>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72"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产出指标</w:t>
            </w: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重点工作任务完成</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重点工作1计划完成率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重点工作2计划完成率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重点工作3计划完成率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重点工作4计划完成率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履职目标实现</w:t>
            </w: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年度工作目标1实现率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年度工作目标2实现率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lang w:val="en-US" w:eastAsia="zh-CN"/>
              </w:rPr>
            </w:pPr>
            <w:r>
              <w:rPr>
                <w:rFonts w:hint="eastAsia"/>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年度工作目标3实现率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r>
      <w:tr>
        <w:tblPrEx>
          <w:tblCellMar>
            <w:top w:w="0" w:type="dxa"/>
            <w:left w:w="108" w:type="dxa"/>
            <w:bottom w:w="0" w:type="dxa"/>
            <w:right w:w="108" w:type="dxa"/>
          </w:tblCellMar>
        </w:tblPrEx>
        <w:trPr>
          <w:trHeight w:val="567" w:hRule="atLeast"/>
          <w:jc w:val="center"/>
        </w:trPr>
        <w:tc>
          <w:tcPr>
            <w:tcW w:w="572" w:type="pct"/>
            <w:vMerge w:val="restart"/>
            <w:tcBorders>
              <w:top w:val="single" w:color="auto" w:sz="4" w:space="0"/>
              <w:left w:val="single" w:color="auto" w:sz="4" w:space="0"/>
              <w:right w:val="single" w:color="auto" w:sz="4" w:space="0"/>
            </w:tcBorders>
            <w:shd w:val="clear" w:color="auto" w:fill="FFFFFF"/>
            <w:vAlign w:val="center"/>
          </w:tcPr>
          <w:p>
            <w:pPr>
              <w:pStyle w:val="18"/>
              <w:bidi w:val="0"/>
              <w:rPr>
                <w:rFonts w:hint="eastAsia"/>
              </w:rPr>
            </w:pPr>
            <w:r>
              <w:rPr>
                <w:rFonts w:hint="eastAsia"/>
              </w:rPr>
              <w:t>效益指标</w:t>
            </w:r>
          </w:p>
        </w:tc>
        <w:tc>
          <w:tcPr>
            <w:tcW w:w="839" w:type="pct"/>
            <w:vMerge w:val="restart"/>
            <w:tcBorders>
              <w:top w:val="single" w:color="auto" w:sz="4" w:space="0"/>
              <w:left w:val="single" w:color="auto" w:sz="4" w:space="0"/>
              <w:right w:val="single" w:color="auto" w:sz="4" w:space="0"/>
            </w:tcBorders>
            <w:shd w:val="clear" w:color="auto" w:fill="FFFFFF"/>
            <w:vAlign w:val="center"/>
          </w:tcPr>
          <w:p>
            <w:pPr>
              <w:pStyle w:val="18"/>
              <w:bidi w:val="0"/>
              <w:spacing w:line="240" w:lineRule="auto"/>
              <w:rPr>
                <w:rFonts w:hint="eastAsia" w:eastAsia="仿宋"/>
                <w:highlight w:val="none"/>
                <w:lang w:val="en-US" w:eastAsia="zh-CN"/>
              </w:rPr>
            </w:pPr>
            <w:r>
              <w:rPr>
                <w:rFonts w:hint="eastAsia"/>
                <w:highlight w:val="none"/>
                <w:lang w:val="en-US" w:eastAsia="zh-CN"/>
              </w:rPr>
              <w:t>履职效益</w:t>
            </w:r>
          </w:p>
        </w:tc>
        <w:tc>
          <w:tcPr>
            <w:tcW w:w="142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spacing w:line="240" w:lineRule="auto"/>
              <w:rPr>
                <w:rFonts w:hint="eastAsia"/>
                <w:highlight w:val="none"/>
              </w:rPr>
            </w:pPr>
            <w:r>
              <w:rPr>
                <w:rFonts w:hint="eastAsia"/>
                <w:highlight w:val="none"/>
              </w:rPr>
              <w:t>履职社会效益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对办公环境和办公条件的改善</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改善</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lang w:val="en-US" w:eastAsia="zh-CN"/>
              </w:rPr>
            </w:pPr>
            <w:r>
              <w:rPr>
                <w:rFonts w:hint="eastAsia"/>
                <w:lang w:val="en-US" w:eastAsia="zh-CN"/>
              </w:rPr>
              <w:t>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auto" w:sz="4" w:space="0"/>
              <w:right w:val="single" w:color="auto" w:sz="4" w:space="0"/>
            </w:tcBorders>
            <w:shd w:val="clear" w:color="auto" w:fill="FFFFFF"/>
            <w:vAlign w:val="center"/>
          </w:tcPr>
          <w:p>
            <w:pPr>
              <w:pStyle w:val="18"/>
              <w:bidi w:val="0"/>
              <w:rPr>
                <w:rFonts w:hint="eastAsia"/>
              </w:rPr>
            </w:pPr>
          </w:p>
        </w:tc>
        <w:tc>
          <w:tcPr>
            <w:tcW w:w="839" w:type="pct"/>
            <w:vMerge w:val="continue"/>
            <w:tcBorders>
              <w:left w:val="single" w:color="auto" w:sz="4" w:space="0"/>
              <w:right w:val="single" w:color="auto" w:sz="4" w:space="0"/>
            </w:tcBorders>
            <w:shd w:val="clear" w:color="auto" w:fill="FFFFFF"/>
            <w:vAlign w:val="center"/>
          </w:tcPr>
          <w:p>
            <w:pPr>
              <w:pStyle w:val="18"/>
              <w:bidi w:val="0"/>
              <w:rPr>
                <w:rFonts w:hint="eastAsia"/>
                <w:highlight w:val="none"/>
              </w:rPr>
            </w:pPr>
          </w:p>
        </w:tc>
        <w:tc>
          <w:tcPr>
            <w:tcW w:w="142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履职生态效益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sz w:val="22"/>
                <w:szCs w:val="22"/>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auto" w:sz="4" w:space="0"/>
              <w:right w:val="single" w:color="auto" w:sz="4" w:space="0"/>
            </w:tcBorders>
            <w:shd w:val="clear" w:color="auto" w:fill="FFFFFF"/>
            <w:vAlign w:val="center"/>
          </w:tcPr>
          <w:p>
            <w:pPr>
              <w:pStyle w:val="18"/>
              <w:bidi w:val="0"/>
              <w:rPr>
                <w:rFonts w:hint="eastAsia"/>
              </w:rPr>
            </w:pPr>
          </w:p>
        </w:tc>
        <w:tc>
          <w:tcPr>
            <w:tcW w:w="839" w:type="pct"/>
            <w:vMerge w:val="continue"/>
            <w:tcBorders>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142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可持续发展影响指标</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auto" w:sz="4" w:space="0"/>
              <w:right w:val="single" w:color="auto" w:sz="4" w:space="0"/>
            </w:tcBorders>
            <w:shd w:val="clear" w:color="auto" w:fill="FFFFFF"/>
            <w:vAlign w:val="center"/>
          </w:tcPr>
          <w:p>
            <w:pPr>
              <w:pStyle w:val="18"/>
              <w:bidi w:val="0"/>
              <w:rPr>
                <w:rFonts w:hint="eastAsia"/>
              </w:rPr>
            </w:pPr>
          </w:p>
        </w:tc>
        <w:tc>
          <w:tcPr>
            <w:tcW w:w="839" w:type="pct"/>
            <w:vMerge w:val="restart"/>
            <w:tcBorders>
              <w:top w:val="single" w:color="auto" w:sz="4" w:space="0"/>
              <w:left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满意度</w:t>
            </w:r>
          </w:p>
        </w:tc>
        <w:tc>
          <w:tcPr>
            <w:tcW w:w="142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被巡视巡察对象投诉率</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highlight w:val="none"/>
                <w:lang w:val="en-US" w:eastAsia="zh-CN"/>
              </w:rPr>
            </w:pPr>
            <w:r>
              <w:rPr>
                <w:rFonts w:hint="eastAsia"/>
                <w:highlight w:val="none"/>
                <w:lang w:val="en-US" w:eastAsia="zh-CN"/>
              </w:rPr>
              <w:t>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100%</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lang w:val="en-US" w:eastAsia="zh-CN"/>
              </w:rPr>
            </w:pPr>
            <w:r>
              <w:rPr>
                <w:rFonts w:hint="eastAsia"/>
                <w:lang w:val="en-US" w:eastAsia="zh-CN"/>
              </w:rPr>
              <w:t>15</w:t>
            </w:r>
          </w:p>
        </w:tc>
      </w:tr>
      <w:tr>
        <w:tblPrEx>
          <w:tblCellMar>
            <w:top w:w="0" w:type="dxa"/>
            <w:left w:w="108" w:type="dxa"/>
            <w:bottom w:w="0" w:type="dxa"/>
            <w:right w:w="108" w:type="dxa"/>
          </w:tblCellMar>
        </w:tblPrEx>
        <w:trPr>
          <w:trHeight w:val="567" w:hRule="atLeast"/>
          <w:jc w:val="center"/>
        </w:trPr>
        <w:tc>
          <w:tcPr>
            <w:tcW w:w="572" w:type="pct"/>
            <w:vMerge w:val="continue"/>
            <w:tcBorders>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839" w:type="pct"/>
            <w:vMerge w:val="continue"/>
            <w:tcBorders>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lang w:val="en-US" w:eastAsia="zh-CN"/>
              </w:rPr>
            </w:pPr>
          </w:p>
        </w:tc>
        <w:tc>
          <w:tcPr>
            <w:tcW w:w="142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p>
            <w:pPr>
              <w:tabs>
                <w:tab w:val="left" w:pos="631"/>
              </w:tabs>
              <w:bidi w:val="0"/>
              <w:jc w:val="left"/>
              <w:rPr>
                <w:rFonts w:hint="eastAsia" w:eastAsia="仿宋"/>
                <w:lang w:eastAsia="zh-CN"/>
              </w:rPr>
            </w:pPr>
            <w:r>
              <w:rPr>
                <w:rFonts w:hint="eastAsia"/>
                <w:lang w:eastAsia="zh-CN"/>
              </w:rPr>
              <w:tab/>
            </w:r>
            <w:r>
              <w:rPr>
                <w:rFonts w:hint="eastAsia"/>
                <w:lang w:eastAsia="zh-CN"/>
              </w:rPr>
              <w:t>服务对象满意度</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≥95%</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95%</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15</w:t>
            </w:r>
          </w:p>
        </w:tc>
      </w:tr>
      <w:tr>
        <w:tblPrEx>
          <w:tblCellMar>
            <w:top w:w="0" w:type="dxa"/>
            <w:left w:w="108" w:type="dxa"/>
            <w:bottom w:w="0" w:type="dxa"/>
            <w:right w:w="108" w:type="dxa"/>
          </w:tblCellMar>
        </w:tblPrEx>
        <w:trPr>
          <w:trHeight w:val="567" w:hRule="atLeast"/>
          <w:jc w:val="center"/>
        </w:trPr>
        <w:tc>
          <w:tcPr>
            <w:tcW w:w="2837"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highlight w:val="none"/>
                <w:lang w:val="en-US" w:eastAsia="zh-CN"/>
              </w:rPr>
            </w:pPr>
            <w:r>
              <w:rPr>
                <w:rFonts w:hint="eastAsia"/>
                <w:highlight w:val="none"/>
                <w:lang w:val="en-US" w:eastAsia="zh-CN"/>
              </w:rPr>
              <w:t>合计</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98</w:t>
            </w:r>
          </w:p>
        </w:tc>
      </w:tr>
    </w:tbl>
    <w:p>
      <w:pPr>
        <w:pStyle w:val="3"/>
        <w:bidi w:val="0"/>
        <w:rPr>
          <w:color w:val="auto"/>
        </w:rPr>
      </w:pPr>
      <w:r>
        <w:rPr>
          <w:rFonts w:hint="eastAsia"/>
          <w:color w:val="auto"/>
        </w:rPr>
        <w:br w:type="page"/>
      </w:r>
      <w:bookmarkStart w:id="21" w:name="_Toc18202"/>
      <w:r>
        <w:rPr>
          <w:rFonts w:hint="eastAsia"/>
          <w:color w:val="auto"/>
        </w:rPr>
        <w:t>四、</w:t>
      </w:r>
      <w:r>
        <w:rPr>
          <w:color w:val="auto"/>
        </w:rPr>
        <w:t>绩效目标实现情况分析</w:t>
      </w:r>
      <w:bookmarkEnd w:id="21"/>
    </w:p>
    <w:p>
      <w:pPr>
        <w:pStyle w:val="4"/>
        <w:bidi w:val="0"/>
      </w:pPr>
      <w:bookmarkStart w:id="22" w:name="_Toc10468"/>
      <w:r>
        <w:rPr>
          <w:rFonts w:hint="eastAsia"/>
          <w:lang w:eastAsia="zh-CN"/>
        </w:rPr>
        <w:t>（</w:t>
      </w:r>
      <w:r>
        <w:t>一</w:t>
      </w:r>
      <w:r>
        <w:rPr>
          <w:rFonts w:hint="eastAsia"/>
          <w:lang w:eastAsia="zh-CN"/>
        </w:rPr>
        <w:t>）</w:t>
      </w:r>
      <w:r>
        <w:t>部门资金情况分析</w:t>
      </w:r>
      <w:bookmarkEnd w:id="22"/>
    </w:p>
    <w:p>
      <w:pPr>
        <w:pStyle w:val="5"/>
        <w:bidi w:val="0"/>
      </w:pPr>
      <w:r>
        <w:rPr>
          <w:rFonts w:hint="eastAsia"/>
        </w:rPr>
        <w:t>1.资金到位情况与资金执行情况</w:t>
      </w:r>
    </w:p>
    <w:p>
      <w:pPr>
        <w:pStyle w:val="22"/>
        <w:bidi w:val="0"/>
        <w:rPr>
          <w:rFonts w:hint="eastAsia"/>
          <w:lang w:eastAsia="zh-CN"/>
        </w:rPr>
      </w:pPr>
      <w:r>
        <w:t>我</w:t>
      </w:r>
      <w:r>
        <w:rPr>
          <w:rFonts w:hint="eastAsia"/>
        </w:rPr>
        <w:t>单位</w:t>
      </w:r>
      <w:r>
        <w:rPr>
          <w:rFonts w:hint="eastAsia"/>
          <w:lang w:eastAsia="zh-CN"/>
        </w:rPr>
        <w:t>2021</w:t>
      </w:r>
      <w:r>
        <w:rPr>
          <w:rFonts w:hint="eastAsia"/>
        </w:rPr>
        <w:t>年年初预算资金</w:t>
      </w:r>
      <w:r>
        <w:rPr>
          <w:rFonts w:hint="eastAsia"/>
          <w:lang w:val="en-US" w:eastAsia="zh-CN"/>
        </w:rPr>
        <w:t>326</w:t>
      </w:r>
      <w:r>
        <w:rPr>
          <w:rFonts w:hint="eastAsia"/>
        </w:rPr>
        <w:t>万元；经年中调整，</w:t>
      </w:r>
      <w:r>
        <w:rPr>
          <w:rFonts w:hint="eastAsia"/>
          <w:lang w:val="en-US" w:eastAsia="zh-CN"/>
        </w:rPr>
        <w:t>调预算210万元</w:t>
      </w:r>
      <w:r>
        <w:rPr>
          <w:rFonts w:hint="eastAsia"/>
        </w:rPr>
        <w:t>；全年预算资金总额</w:t>
      </w:r>
      <w:r>
        <w:rPr>
          <w:rFonts w:hint="eastAsia"/>
          <w:lang w:val="en-US" w:eastAsia="zh-CN"/>
        </w:rPr>
        <w:t>636</w:t>
      </w:r>
      <w:r>
        <w:rPr>
          <w:rFonts w:hint="eastAsia"/>
        </w:rPr>
        <w:t>万元。全年实际执行数为</w:t>
      </w:r>
      <w:r>
        <w:rPr>
          <w:rFonts w:hint="eastAsia"/>
          <w:lang w:val="en-US" w:eastAsia="zh-CN"/>
        </w:rPr>
        <w:t>636</w:t>
      </w:r>
      <w:r>
        <w:rPr>
          <w:rFonts w:hint="eastAsia"/>
        </w:rPr>
        <w:t>万元，预算执行率为</w:t>
      </w:r>
      <w:r>
        <w:rPr>
          <w:rFonts w:hint="eastAsia"/>
          <w:lang w:val="en-US" w:eastAsia="zh-CN"/>
        </w:rPr>
        <w:t>100%%</w:t>
      </w:r>
      <w:r>
        <w:rPr>
          <w:rFonts w:hint="eastAsia"/>
        </w:rPr>
        <w:t>。具体情况详见表4-1</w:t>
      </w:r>
      <w:r>
        <w:rPr>
          <w:rFonts w:hint="eastAsia"/>
          <w:lang w:eastAsia="zh-CN"/>
        </w:rPr>
        <w:t>。</w:t>
      </w:r>
    </w:p>
    <w:p>
      <w:pPr>
        <w:pStyle w:val="22"/>
        <w:bidi w:val="0"/>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19"/>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5"/>
        <w:tblW w:w="4999" w:type="pct"/>
        <w:jc w:val="center"/>
        <w:tblLayout w:type="autofit"/>
        <w:tblCellMar>
          <w:top w:w="0" w:type="dxa"/>
          <w:left w:w="108" w:type="dxa"/>
          <w:bottom w:w="0" w:type="dxa"/>
          <w:right w:w="108" w:type="dxa"/>
        </w:tblCellMar>
      </w:tblPr>
      <w:tblGrid>
        <w:gridCol w:w="4161"/>
        <w:gridCol w:w="887"/>
        <w:gridCol w:w="4204"/>
        <w:gridCol w:w="791"/>
        <w:gridCol w:w="3336"/>
        <w:gridCol w:w="792"/>
      </w:tblGrid>
      <w:tr>
        <w:tblPrEx>
          <w:tblCellMar>
            <w:top w:w="0" w:type="dxa"/>
            <w:left w:w="108" w:type="dxa"/>
            <w:bottom w:w="0" w:type="dxa"/>
            <w:right w:w="108" w:type="dxa"/>
          </w:tblCellMar>
        </w:tblPrEx>
        <w:trPr>
          <w:trHeight w:val="404" w:hRule="atLeast"/>
          <w:jc w:val="center"/>
        </w:trPr>
        <w:tc>
          <w:tcPr>
            <w:tcW w:w="17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收入</w:t>
            </w:r>
          </w:p>
        </w:tc>
        <w:tc>
          <w:tcPr>
            <w:tcW w:w="320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项目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经济科目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一、一般公共预算财政拨款收入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一、一般公共服务支出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一、基本支出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r>
      <w:tr>
        <w:tblPrEx>
          <w:tblCellMar>
            <w:top w:w="0" w:type="dxa"/>
            <w:left w:w="108" w:type="dxa"/>
            <w:bottom w:w="0" w:type="dxa"/>
            <w:right w:w="108" w:type="dxa"/>
          </w:tblCellMar>
        </w:tblPrEx>
        <w:trPr>
          <w:trHeight w:val="32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二、政府性基金预算财政拨款收入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二、外交支出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人员经费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9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三、国有资本经营预算财政拨款收入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三、国防支出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公用经费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四、上级补助收入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四、公共安全支出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二、项目支出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五、事业收入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五、教育支出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其中：基本建设类项目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六、经营收入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六、科学技术支出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三、上缴上级支出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七、附属单位上缴收入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七、文化旅游体育与传媒支出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四、经营支出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八、其他收入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八、社会保障和就业支出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五、对附属单位补助支出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九、卫生健康支出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十、节能环保支出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十一、城乡社区支出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经济分类支出合计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十二、农林水支出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一、工资福利支出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十三、交通运输支出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二、商品和服务支出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十四、资源勘探工业信息等支出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三、对个人和家庭的补助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十五、商业服务业等支出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四、债务利息及费用支出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十六、金融支出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五、资本性支出（基本建设）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十七、援助其他地区支出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六、资本性支出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十八、自然资源海洋气象等支出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七、对企业补助（基本建设）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十九、住房保障支出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八、对企业补助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二十、粮油物资储备支出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九、对社会保障基金补助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二十一、国有资本经营预算支出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二十二、灾害防治及应急管理支出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二十三、其他支出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二十四、债务还本支出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二十五、债务付息支出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本年收入合计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本年支出合计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使用非财政拨款结余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结余分配</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年初结转和结余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年末结转和结余</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eastAsia"/>
                <w:highlight w:val="none"/>
                <w:lang w:eastAsia="zh-CN"/>
              </w:rPr>
            </w:pPr>
            <w:r>
              <w:rPr>
                <w:rFonts w:hint="eastAsia"/>
                <w:highlight w:val="none"/>
              </w:rPr>
              <w:t>总计</w:t>
            </w:r>
            <w:r>
              <w:rPr>
                <w:rFonts w:hint="eastAsia"/>
                <w:highlight w:val="none"/>
                <w:lang w:eastAsia="zh-CN"/>
              </w:rPr>
              <w:t>：</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总计：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636</w:t>
            </w:r>
          </w:p>
        </w:tc>
      </w:tr>
    </w:tbl>
    <w:p>
      <w:pPr>
        <w:pStyle w:val="22"/>
        <w:bidi w:val="0"/>
      </w:pPr>
    </w:p>
    <w:p>
      <w:pPr>
        <w:pStyle w:val="22"/>
        <w:bidi w:val="0"/>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pPr>
      <w:r>
        <w:t>2.资金管理情况</w:t>
      </w:r>
    </w:p>
    <w:p>
      <w:pPr>
        <w:pStyle w:val="22"/>
        <w:bidi w:val="0"/>
      </w:pPr>
      <w:r>
        <w:rPr>
          <w:rFonts w:hint="eastAsia"/>
        </w:rPr>
        <w:t>我单位参照相关国家法律法规，在《内部控制基本制度》中制定了财务管理、资产管理</w:t>
      </w:r>
      <w:r>
        <w:rPr>
          <w:rFonts w:hint="eastAsia"/>
          <w:lang w:val="en-US" w:eastAsia="zh-CN"/>
        </w:rPr>
        <w:t>等</w:t>
      </w:r>
      <w:r>
        <w:rPr>
          <w:rFonts w:hint="eastAsia"/>
        </w:rPr>
        <w:t>关管理办法，且针对专项资金制定了《专项资金管理办法》，</w:t>
      </w:r>
      <w:r>
        <w:t>该制度符合国家财经法规和财务管理制度规定以及有关专项资金管理办法的规定。</w:t>
      </w:r>
      <w:r>
        <w:rPr>
          <w:rFonts w:hint="eastAsia"/>
        </w:rPr>
        <w:t>针对主要经费的管理，明确了相应原则和要求、开支范围、程序、办法及标准、审批权限等，上述制度规定基本得到执行。</w:t>
      </w:r>
    </w:p>
    <w:p>
      <w:pPr>
        <w:pStyle w:val="4"/>
        <w:bidi w:val="0"/>
      </w:pPr>
      <w:bookmarkStart w:id="23" w:name="_Toc3607"/>
      <w:r>
        <w:rPr>
          <w:rFonts w:hint="eastAsia"/>
          <w:lang w:eastAsia="zh-CN"/>
        </w:rPr>
        <w:t>（</w:t>
      </w:r>
      <w:r>
        <w:t>二</w:t>
      </w:r>
      <w:r>
        <w:rPr>
          <w:rFonts w:hint="eastAsia"/>
          <w:lang w:eastAsia="zh-CN"/>
        </w:rPr>
        <w:t>）</w:t>
      </w:r>
      <w:r>
        <w:t>项目绩效指标完成情况分析</w:t>
      </w:r>
      <w:bookmarkEnd w:id="23"/>
    </w:p>
    <w:p>
      <w:pPr>
        <w:pStyle w:val="5"/>
        <w:bidi w:val="0"/>
      </w:pPr>
      <w:r>
        <w:t>1.</w:t>
      </w:r>
      <w:r>
        <w:rPr>
          <w:rFonts w:hint="eastAsia"/>
        </w:rPr>
        <w:t>投</w:t>
      </w:r>
      <w:r>
        <w:t>入管理指标完成情况分析</w:t>
      </w:r>
    </w:p>
    <w:p>
      <w:pPr>
        <w:pStyle w:val="22"/>
        <w:bidi w:val="0"/>
      </w:pPr>
      <w:r>
        <w:rPr>
          <w:rFonts w:hint="eastAsia"/>
        </w:rPr>
        <w:t>（1）工作目标管理</w:t>
      </w:r>
    </w:p>
    <w:p>
      <w:pPr>
        <w:pStyle w:val="22"/>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2"/>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2"/>
        <w:bidi w:val="0"/>
        <w:rPr>
          <w:highlight w:val="none"/>
        </w:rPr>
      </w:pPr>
      <w:r>
        <w:rPr>
          <w:rFonts w:hint="eastAsia"/>
          <w:highlight w:val="none"/>
        </w:rPr>
        <w:t>②工作任务科学性，</w:t>
      </w:r>
      <w:r>
        <w:rPr>
          <w:highlight w:val="none"/>
        </w:rPr>
        <w:t>指标2分，得2分。</w:t>
      </w:r>
    </w:p>
    <w:p>
      <w:pPr>
        <w:pStyle w:val="22"/>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1</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2"/>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1</w:t>
      </w:r>
      <w:r>
        <w:rPr>
          <w:highlight w:val="none"/>
        </w:rPr>
        <w:t>分。</w:t>
      </w:r>
    </w:p>
    <w:p>
      <w:pPr>
        <w:pStyle w:val="22"/>
        <w:bidi w:val="0"/>
        <w:rPr>
          <w:highlight w:val="yellow"/>
        </w:rPr>
      </w:pPr>
      <w:r>
        <w:rPr>
          <w:rFonts w:hint="eastAsia"/>
          <w:color w:val="auto"/>
          <w:highlight w:val="none"/>
          <w:lang w:eastAsia="zh-CN"/>
        </w:rPr>
        <w:t>我单位</w:t>
      </w:r>
      <w:r>
        <w:rPr>
          <w:rFonts w:hint="eastAsia"/>
          <w:color w:val="auto"/>
          <w:highlight w:val="none"/>
        </w:rPr>
        <w:t>在进行绩效自评工作时，认为</w:t>
      </w:r>
      <w:r>
        <w:rPr>
          <w:rFonts w:hint="eastAsia"/>
          <w:color w:val="auto"/>
          <w:highlight w:val="none"/>
          <w:lang w:eastAsia="zh-CN"/>
        </w:rPr>
        <w:t>2021</w:t>
      </w:r>
      <w:r>
        <w:rPr>
          <w:rFonts w:hint="eastAsia"/>
          <w:color w:val="auto"/>
          <w:highlight w:val="none"/>
        </w:rPr>
        <w:t>年年初部门整体绩效指标设置不够合理，细化量化程度不足。</w:t>
      </w:r>
    </w:p>
    <w:p>
      <w:pPr>
        <w:pStyle w:val="22"/>
        <w:bidi w:val="0"/>
        <w:ind w:left="0" w:leftChars="0" w:firstLine="0" w:firstLineChars="0"/>
        <w:rPr>
          <w:b/>
          <w:bCs/>
          <w:highlight w:val="none"/>
        </w:rPr>
      </w:pPr>
      <w:r>
        <w:rPr>
          <w:rFonts w:hint="eastAsia"/>
          <w:b/>
          <w:bCs/>
          <w:highlight w:val="none"/>
        </w:rPr>
        <w:t>（2）预算和财务管理</w:t>
      </w:r>
    </w:p>
    <w:p>
      <w:pPr>
        <w:pStyle w:val="22"/>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2"/>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2"/>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2"/>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2"/>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2"/>
        <w:bidi w:val="0"/>
        <w:rPr>
          <w:rFonts w:hint="eastAsia"/>
          <w:highlight w:val="yellow"/>
        </w:rPr>
      </w:pPr>
      <w:r>
        <w:rPr>
          <w:rFonts w:hint="eastAsia"/>
          <w:highlight w:val="none"/>
          <w:lang w:eastAsia="zh-CN"/>
        </w:rPr>
        <w:t>2021</w:t>
      </w:r>
      <w:r>
        <w:rPr>
          <w:rFonts w:hint="eastAsia"/>
          <w:highlight w:val="none"/>
        </w:rPr>
        <w:t>年我单位年初预算</w:t>
      </w:r>
      <w:r>
        <w:rPr>
          <w:rFonts w:hint="eastAsia"/>
          <w:highlight w:val="none"/>
          <w:lang w:val="en-US" w:eastAsia="zh-CN"/>
        </w:rPr>
        <w:t>326</w:t>
      </w:r>
      <w:r>
        <w:rPr>
          <w:rFonts w:hint="eastAsia"/>
          <w:highlight w:val="none"/>
        </w:rPr>
        <w:t>万元，全年总预算</w:t>
      </w:r>
      <w:r>
        <w:rPr>
          <w:rFonts w:hint="eastAsia"/>
          <w:highlight w:val="none"/>
          <w:lang w:val="en-US" w:eastAsia="zh-CN"/>
        </w:rPr>
        <w:t>636</w:t>
      </w:r>
      <w:r>
        <w:rPr>
          <w:rFonts w:hint="eastAsia"/>
          <w:highlight w:val="none"/>
        </w:rPr>
        <w:t>万元，增加金额</w:t>
      </w:r>
      <w:r>
        <w:rPr>
          <w:rFonts w:hint="eastAsia"/>
          <w:highlight w:val="none"/>
          <w:lang w:val="en-US" w:eastAsia="zh-CN"/>
        </w:rPr>
        <w:t>210</w:t>
      </w:r>
      <w:r>
        <w:rPr>
          <w:rFonts w:hint="eastAsia"/>
          <w:highlight w:val="none"/>
        </w:rPr>
        <w:t>万元。预算调整率</w:t>
      </w:r>
      <w:r>
        <w:rPr>
          <w:rFonts w:hint="eastAsia"/>
          <w:highlight w:val="none"/>
          <w:lang w:val="en-US" w:eastAsia="zh-CN"/>
        </w:rPr>
        <w:t>6%</w:t>
      </w:r>
      <w:r>
        <w:rPr>
          <w:rFonts w:hint="eastAsia"/>
          <w:highlight w:val="none"/>
        </w:rPr>
        <w:t>。</w:t>
      </w:r>
    </w:p>
    <w:p>
      <w:pPr>
        <w:pStyle w:val="22"/>
        <w:bidi w:val="0"/>
        <w:rPr>
          <w:rFonts w:hint="eastAsia"/>
          <w:highlight w:val="none"/>
        </w:rPr>
      </w:pPr>
      <w:r>
        <w:rPr>
          <w:rFonts w:hint="eastAsia"/>
          <w:highlight w:val="none"/>
        </w:rPr>
        <w:t>④结转结余率，指标</w:t>
      </w:r>
      <w:r>
        <w:rPr>
          <w:rFonts w:hint="eastAsia"/>
          <w:highlight w:val="none"/>
          <w:lang w:val="en-US" w:eastAsia="zh-CN"/>
        </w:rPr>
        <w:t>2</w:t>
      </w:r>
      <w:r>
        <w:rPr>
          <w:rFonts w:hint="eastAsia"/>
          <w:highlight w:val="none"/>
        </w:rPr>
        <w:t>分，得</w:t>
      </w:r>
      <w:r>
        <w:rPr>
          <w:rFonts w:hint="eastAsia"/>
          <w:highlight w:val="none"/>
          <w:lang w:val="en-US" w:eastAsia="zh-CN"/>
        </w:rPr>
        <w:t>2</w:t>
      </w:r>
      <w:r>
        <w:rPr>
          <w:rFonts w:hint="eastAsia"/>
          <w:highlight w:val="none"/>
        </w:rPr>
        <w:t>分。</w:t>
      </w:r>
    </w:p>
    <w:p>
      <w:pPr>
        <w:pStyle w:val="22"/>
        <w:bidi w:val="0"/>
        <w:rPr>
          <w:rFonts w:hint="eastAsia"/>
          <w:highlight w:val="none"/>
        </w:rPr>
      </w:pPr>
      <w:r>
        <w:rPr>
          <w:rFonts w:hint="eastAsia"/>
          <w:highlight w:val="none"/>
          <w:lang w:eastAsia="zh-CN"/>
        </w:rPr>
        <w:t>2021</w:t>
      </w:r>
      <w:r>
        <w:rPr>
          <w:rFonts w:hint="eastAsia"/>
          <w:highlight w:val="none"/>
        </w:rPr>
        <w:t>年我单位全年总预算</w:t>
      </w:r>
      <w:r>
        <w:rPr>
          <w:rFonts w:hint="eastAsia"/>
          <w:highlight w:val="none"/>
          <w:lang w:val="en-US" w:eastAsia="zh-CN"/>
        </w:rPr>
        <w:t>636</w:t>
      </w:r>
      <w:r>
        <w:rPr>
          <w:rFonts w:hint="eastAsia"/>
          <w:highlight w:val="none"/>
        </w:rPr>
        <w:t>万元，年底结余</w:t>
      </w:r>
      <w:r>
        <w:rPr>
          <w:rFonts w:hint="eastAsia"/>
          <w:highlight w:val="none"/>
          <w:lang w:val="en-US" w:eastAsia="zh-CN"/>
        </w:rPr>
        <w:t>0</w:t>
      </w:r>
      <w:r>
        <w:rPr>
          <w:rFonts w:hint="eastAsia"/>
          <w:highlight w:val="none"/>
        </w:rPr>
        <w:t>万元，结转结余率</w:t>
      </w:r>
      <w:r>
        <w:rPr>
          <w:rFonts w:hint="eastAsia"/>
          <w:highlight w:val="none"/>
          <w:lang w:val="en-US" w:eastAsia="zh-CN"/>
        </w:rPr>
        <w:t>20%</w:t>
      </w:r>
      <w:r>
        <w:rPr>
          <w:rFonts w:hint="eastAsia"/>
          <w:highlight w:val="none"/>
        </w:rPr>
        <w:t>。</w:t>
      </w:r>
    </w:p>
    <w:p>
      <w:pPr>
        <w:pStyle w:val="22"/>
        <w:bidi w:val="0"/>
        <w:rPr>
          <w:rFonts w:hint="eastAsia"/>
          <w:highlight w:val="none"/>
        </w:rPr>
      </w:pPr>
      <w:r>
        <w:rPr>
          <w:rFonts w:hint="eastAsia"/>
          <w:highlight w:val="none"/>
        </w:rPr>
        <w:t>⑤“三公经费”控制率，指标1分，得1分。</w:t>
      </w:r>
    </w:p>
    <w:p>
      <w:pPr>
        <w:pStyle w:val="22"/>
        <w:bidi w:val="0"/>
        <w:rPr>
          <w:rFonts w:hint="eastAsia"/>
          <w:highlight w:val="none"/>
        </w:rPr>
      </w:pPr>
      <w:r>
        <w:rPr>
          <w:rFonts w:hint="eastAsia"/>
          <w:highlight w:val="none"/>
        </w:rPr>
        <w:t>我单位</w:t>
      </w:r>
      <w:r>
        <w:rPr>
          <w:rFonts w:hint="eastAsia"/>
          <w:highlight w:val="none"/>
          <w:lang w:eastAsia="zh-CN"/>
        </w:rPr>
        <w:t>2021</w:t>
      </w:r>
      <w:r>
        <w:rPr>
          <w:rFonts w:hint="eastAsia"/>
          <w:highlight w:val="none"/>
        </w:rPr>
        <w:t>年三公预算数</w:t>
      </w:r>
      <w:r>
        <w:rPr>
          <w:rFonts w:hint="eastAsia"/>
          <w:highlight w:val="none"/>
          <w:lang w:val="en-US" w:eastAsia="zh-CN"/>
        </w:rPr>
        <w:t>2.4万</w:t>
      </w:r>
      <w:r>
        <w:rPr>
          <w:rFonts w:hint="eastAsia"/>
          <w:highlight w:val="none"/>
        </w:rPr>
        <w:t>元，</w:t>
      </w:r>
      <w:r>
        <w:rPr>
          <w:rFonts w:hint="eastAsia"/>
          <w:highlight w:val="none"/>
          <w:lang w:eastAsia="zh-CN"/>
        </w:rPr>
        <w:t>2021</w:t>
      </w:r>
      <w:r>
        <w:rPr>
          <w:rFonts w:hint="eastAsia"/>
          <w:highlight w:val="none"/>
        </w:rPr>
        <w:t>年三公经费执行数</w:t>
      </w:r>
      <w:r>
        <w:rPr>
          <w:rFonts w:hint="eastAsia"/>
          <w:highlight w:val="none"/>
          <w:lang w:val="en-US" w:eastAsia="zh-CN"/>
        </w:rPr>
        <w:t>2.4万</w:t>
      </w:r>
      <w:r>
        <w:rPr>
          <w:rFonts w:hint="eastAsia"/>
          <w:highlight w:val="none"/>
        </w:rPr>
        <w:t>元，控制率</w:t>
      </w:r>
      <w:r>
        <w:rPr>
          <w:rFonts w:hint="eastAsia"/>
          <w:highlight w:val="none"/>
          <w:lang w:val="en-US" w:eastAsia="zh-CN"/>
        </w:rPr>
        <w:t>100%</w:t>
      </w:r>
      <w:r>
        <w:rPr>
          <w:rFonts w:hint="eastAsia"/>
          <w:highlight w:val="none"/>
        </w:rPr>
        <w:t>。</w:t>
      </w:r>
    </w:p>
    <w:p>
      <w:pPr>
        <w:pStyle w:val="22"/>
        <w:bidi w:val="0"/>
        <w:rPr>
          <w:rFonts w:hint="eastAsia"/>
          <w:highlight w:val="none"/>
        </w:rPr>
      </w:pPr>
      <w:r>
        <w:rPr>
          <w:rFonts w:hint="eastAsia"/>
          <w:highlight w:val="none"/>
        </w:rPr>
        <w:t>⑥政府采购执行率，指标1分，得1分。</w:t>
      </w:r>
    </w:p>
    <w:p>
      <w:pPr>
        <w:pStyle w:val="22"/>
        <w:bidi w:val="0"/>
        <w:rPr>
          <w:rFonts w:hint="eastAsia"/>
          <w:highlight w:val="none"/>
        </w:rPr>
      </w:pPr>
      <w:r>
        <w:rPr>
          <w:rFonts w:hint="eastAsia"/>
          <w:highlight w:val="none"/>
        </w:rPr>
        <w:t>我单位</w:t>
      </w:r>
      <w:r>
        <w:rPr>
          <w:rFonts w:hint="eastAsia"/>
          <w:highlight w:val="none"/>
          <w:lang w:eastAsia="zh-CN"/>
        </w:rPr>
        <w:t>2021</w:t>
      </w:r>
      <w:r>
        <w:rPr>
          <w:rFonts w:hint="eastAsia"/>
          <w:highlight w:val="none"/>
        </w:rPr>
        <w:t>年计划采购项目</w:t>
      </w:r>
      <w:r>
        <w:rPr>
          <w:rFonts w:hint="eastAsia"/>
          <w:highlight w:val="none"/>
          <w:lang w:val="en-US" w:eastAsia="zh-CN"/>
        </w:rPr>
        <w:t>0</w:t>
      </w:r>
      <w:r>
        <w:rPr>
          <w:rFonts w:hint="eastAsia"/>
          <w:highlight w:val="none"/>
        </w:rPr>
        <w:t>项，</w:t>
      </w:r>
      <w:r>
        <w:rPr>
          <w:rFonts w:hint="eastAsia"/>
          <w:highlight w:val="none"/>
          <w:lang w:val="en-US" w:eastAsia="zh-CN"/>
        </w:rPr>
        <w:t>0</w:t>
      </w:r>
      <w:r>
        <w:rPr>
          <w:rFonts w:hint="eastAsia"/>
          <w:highlight w:val="none"/>
        </w:rPr>
        <w:t>项全部通过政府采购方式确定供应商，政府采购执行率</w:t>
      </w:r>
      <w:r>
        <w:rPr>
          <w:rFonts w:hint="eastAsia"/>
          <w:highlight w:val="none"/>
          <w:lang w:val="en-US" w:eastAsia="zh-CN"/>
        </w:rPr>
        <w:t>100%</w:t>
      </w:r>
      <w:r>
        <w:rPr>
          <w:rFonts w:hint="eastAsia"/>
          <w:highlight w:val="none"/>
        </w:rPr>
        <w:t>。</w:t>
      </w:r>
    </w:p>
    <w:p>
      <w:pPr>
        <w:pStyle w:val="22"/>
        <w:bidi w:val="0"/>
        <w:rPr>
          <w:rFonts w:hint="eastAsia"/>
          <w:highlight w:val="none"/>
        </w:rPr>
      </w:pPr>
      <w:r>
        <w:rPr>
          <w:rFonts w:hint="eastAsia"/>
          <w:highlight w:val="none"/>
        </w:rPr>
        <w:t>⑦决算真实性，指标1分，得1分。</w:t>
      </w:r>
    </w:p>
    <w:p>
      <w:pPr>
        <w:pStyle w:val="22"/>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2"/>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2"/>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2"/>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2"/>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县</w:t>
      </w:r>
      <w:r>
        <w:rPr>
          <w:rFonts w:hint="eastAsia"/>
          <w:highlight w:val="none"/>
        </w:rPr>
        <w:t>财政局审批通过，按照要求，及时公开。</w:t>
      </w:r>
    </w:p>
    <w:p>
      <w:pPr>
        <w:pStyle w:val="22"/>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2"/>
        <w:bidi w:val="0"/>
      </w:pPr>
      <w:r>
        <w:rPr>
          <w:rFonts w:hint="eastAsia"/>
        </w:rPr>
        <w:t>（3）绩效管理</w:t>
      </w:r>
    </w:p>
    <w:p>
      <w:pPr>
        <w:pStyle w:val="22"/>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2"/>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2"/>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highlight w:val="none"/>
          <w:lang w:val="en-US" w:eastAsia="zh-CN"/>
        </w:rPr>
        <w:t>1</w:t>
      </w:r>
      <w:r>
        <w:rPr>
          <w:rFonts w:hint="eastAsia"/>
          <w:highlight w:val="none"/>
        </w:rPr>
        <w:t>项目，应开展效监控</w:t>
      </w:r>
      <w:r>
        <w:rPr>
          <w:rFonts w:hint="eastAsia"/>
          <w:highlight w:val="none"/>
          <w:lang w:val="en-US" w:eastAsia="zh-CN"/>
        </w:rPr>
        <w:t>1</w:t>
      </w:r>
      <w:r>
        <w:rPr>
          <w:rFonts w:hint="eastAsia"/>
          <w:highlight w:val="none"/>
        </w:rPr>
        <w:t>项目，实际开展绩效监控</w:t>
      </w:r>
      <w:r>
        <w:rPr>
          <w:rFonts w:hint="eastAsia"/>
          <w:highlight w:val="none"/>
          <w:lang w:val="en-US" w:eastAsia="zh-CN"/>
        </w:rPr>
        <w:t>1</w:t>
      </w:r>
      <w:r>
        <w:rPr>
          <w:rFonts w:hint="eastAsia"/>
          <w:highlight w:val="none"/>
        </w:rPr>
        <w:t>个项目。部门绩效监控完成率为</w:t>
      </w:r>
      <w:r>
        <w:rPr>
          <w:rFonts w:hint="eastAsia"/>
          <w:highlight w:val="none"/>
          <w:lang w:val="en-US" w:eastAsia="zh-CN"/>
        </w:rPr>
        <w:t>100%</w:t>
      </w:r>
      <w:r>
        <w:rPr>
          <w:rFonts w:hint="eastAsia"/>
          <w:highlight w:val="none"/>
          <w:lang w:eastAsia="zh-CN"/>
        </w:rPr>
        <w:t>。</w:t>
      </w:r>
    </w:p>
    <w:p>
      <w:pPr>
        <w:pStyle w:val="22"/>
        <w:bidi w:val="0"/>
        <w:rPr>
          <w:rFonts w:hint="eastAsia"/>
          <w:highlight w:val="none"/>
        </w:rPr>
      </w:pPr>
      <w:r>
        <w:rPr>
          <w:rFonts w:hint="eastAsia"/>
          <w:highlight w:val="none"/>
        </w:rPr>
        <w:t>②绩效自评完成率，指标2分，得2分。</w:t>
      </w:r>
    </w:p>
    <w:p>
      <w:pPr>
        <w:pStyle w:val="22"/>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2"/>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highlight w:val="none"/>
          <w:lang w:val="en-US" w:eastAsia="zh-CN"/>
        </w:rPr>
        <w:t>1</w:t>
      </w:r>
      <w:r>
        <w:rPr>
          <w:rFonts w:hint="eastAsia"/>
          <w:highlight w:val="none"/>
        </w:rPr>
        <w:t>项目，应开展绩效自评</w:t>
      </w:r>
      <w:r>
        <w:rPr>
          <w:rFonts w:hint="eastAsia"/>
          <w:highlight w:val="none"/>
          <w:lang w:val="en-US" w:eastAsia="zh-CN"/>
        </w:rPr>
        <w:t>1</w:t>
      </w:r>
      <w:r>
        <w:rPr>
          <w:rFonts w:hint="eastAsia"/>
          <w:highlight w:val="none"/>
        </w:rPr>
        <w:t>项目，实际开展绩效自评</w:t>
      </w:r>
      <w:r>
        <w:rPr>
          <w:rFonts w:hint="eastAsia"/>
          <w:highlight w:val="none"/>
          <w:lang w:val="en-US" w:eastAsia="zh-CN"/>
        </w:rPr>
        <w:t>1</w:t>
      </w:r>
      <w:r>
        <w:rPr>
          <w:rFonts w:hint="eastAsia"/>
          <w:highlight w:val="none"/>
        </w:rPr>
        <w:t>项目。部门绩效自评完成率为</w:t>
      </w:r>
      <w:r>
        <w:rPr>
          <w:rFonts w:hint="eastAsia"/>
          <w:highlight w:val="none"/>
          <w:lang w:val="en-US" w:eastAsia="zh-CN"/>
        </w:rPr>
        <w:t>100%</w:t>
      </w:r>
      <w:r>
        <w:rPr>
          <w:rFonts w:hint="eastAsia"/>
          <w:highlight w:val="none"/>
          <w:lang w:eastAsia="zh-CN"/>
        </w:rPr>
        <w:t>。</w:t>
      </w:r>
    </w:p>
    <w:p>
      <w:pPr>
        <w:pStyle w:val="22"/>
        <w:bidi w:val="0"/>
        <w:rPr>
          <w:rFonts w:hint="eastAsia"/>
          <w:highlight w:val="none"/>
          <w:lang w:val="en-US" w:eastAsia="zh-CN"/>
        </w:rPr>
      </w:pPr>
      <w:r>
        <w:rPr>
          <w:rFonts w:hint="eastAsia"/>
          <w:highlight w:val="none"/>
          <w:lang w:val="en-US" w:eastAsia="zh-CN"/>
        </w:rPr>
        <w:t>③部门绩效评价完成率，指标2分，得0.86分。</w:t>
      </w:r>
    </w:p>
    <w:p>
      <w:pPr>
        <w:pStyle w:val="22"/>
        <w:bidi w:val="0"/>
        <w:rPr>
          <w:rFonts w:hint="eastAsia"/>
          <w:highlight w:val="none"/>
          <w:lang w:val="en-US" w:eastAsia="zh-CN"/>
        </w:rPr>
      </w:pPr>
      <w:r>
        <w:rPr>
          <w:rFonts w:hint="eastAsia"/>
          <w:highlight w:val="none"/>
          <w:lang w:val="en-US" w:eastAsia="zh-CN"/>
        </w:rPr>
        <w:t>部门绩效评价完成率=已完成评价项目数量/部门重点绩效评价项目数×100%。</w:t>
      </w:r>
    </w:p>
    <w:p>
      <w:pPr>
        <w:pStyle w:val="22"/>
        <w:bidi w:val="0"/>
        <w:rPr>
          <w:rFonts w:hint="eastAsia"/>
          <w:highlight w:val="yellow"/>
          <w:lang w:eastAsia="zh-CN"/>
        </w:rPr>
      </w:pPr>
      <w:r>
        <w:rPr>
          <w:rFonts w:hint="eastAsia"/>
          <w:highlight w:val="none"/>
          <w:lang w:val="en-US" w:eastAsia="zh-CN"/>
        </w:rPr>
        <w:t>2021年度我单位应开展部门重点绩效评价1个项目，实际开展绩效评价1个项目。部门绩效自评完成率为100%。</w:t>
      </w:r>
    </w:p>
    <w:p>
      <w:pPr>
        <w:pStyle w:val="22"/>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2"/>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2"/>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pPr>
      <w:r>
        <w:t>2.</w:t>
      </w:r>
      <w:r>
        <w:rPr>
          <w:rFonts w:hint="eastAsia"/>
        </w:rPr>
        <w:t>产出</w:t>
      </w:r>
      <w:r>
        <w:t>指标完成况分析</w:t>
      </w:r>
    </w:p>
    <w:p>
      <w:pPr>
        <w:pStyle w:val="22"/>
        <w:bidi w:val="0"/>
      </w:pPr>
      <w:r>
        <w:rPr>
          <w:rFonts w:hint="eastAsia"/>
        </w:rPr>
        <w:t>（1）</w:t>
      </w:r>
      <w:r>
        <w:t>重点工作任务完成</w:t>
      </w:r>
    </w:p>
    <w:p>
      <w:pPr>
        <w:pStyle w:val="22"/>
        <w:bidi w:val="0"/>
        <w:rPr>
          <w:rFonts w:hint="eastAsia"/>
          <w:lang w:eastAsia="zh-CN"/>
        </w:rPr>
      </w:pPr>
      <w:r>
        <w:rPr>
          <w:rFonts w:hint="eastAsia"/>
        </w:rPr>
        <w:t>①</w:t>
      </w:r>
      <w:r>
        <w:t>重点工作1计划完成率</w:t>
      </w:r>
      <w:r>
        <w:rPr>
          <w:rFonts w:hint="eastAsia"/>
        </w:rPr>
        <w:t>：</w:t>
      </w:r>
      <w:r>
        <w:rPr>
          <w:rFonts w:hint="eastAsia"/>
          <w:lang w:eastAsia="zh-CN"/>
        </w:rPr>
        <w:t>向县委、巡察领导小组报告工作情况，传达贯彻 县委、巡察领导小组的决策和部署</w:t>
      </w:r>
      <w:r>
        <w:rPr>
          <w:rFonts w:hint="eastAsia"/>
        </w:rPr>
        <w:t>，</w:t>
      </w:r>
      <w:r>
        <w:t>指标</w:t>
      </w:r>
      <w:r>
        <w:rPr>
          <w:rFonts w:hint="eastAsia"/>
          <w:lang w:val="en-US" w:eastAsia="zh-CN"/>
        </w:rPr>
        <w:t>4</w:t>
      </w:r>
      <w:r>
        <w:t>分，得</w:t>
      </w:r>
      <w:r>
        <w:rPr>
          <w:rFonts w:hint="eastAsia"/>
          <w:lang w:val="en-US" w:eastAsia="zh-CN"/>
        </w:rPr>
        <w:t>4</w:t>
      </w:r>
      <w:r>
        <w:t>分。重点工作1</w:t>
      </w:r>
      <w:r>
        <w:rPr>
          <w:rFonts w:hint="eastAsia"/>
          <w:lang w:eastAsia="zh-CN"/>
        </w:rPr>
        <w:t>实际</w:t>
      </w:r>
      <w:r>
        <w:t>完成率</w:t>
      </w:r>
      <w:r>
        <w:rPr>
          <w:rFonts w:hint="eastAsia"/>
          <w:lang w:val="en-US" w:eastAsia="zh-CN"/>
        </w:rPr>
        <w:t>100</w:t>
      </w:r>
      <w:r>
        <w:rPr>
          <w:rFonts w:hint="eastAsia"/>
        </w:rPr>
        <w:t>%</w:t>
      </w:r>
      <w:r>
        <w:rPr>
          <w:rFonts w:hint="eastAsia"/>
          <w:lang w:eastAsia="zh-CN"/>
        </w:rPr>
        <w:t>。</w:t>
      </w:r>
    </w:p>
    <w:p>
      <w:pPr>
        <w:pStyle w:val="22"/>
        <w:bidi w:val="0"/>
        <w:rPr>
          <w:rFonts w:hint="eastAsia"/>
          <w:lang w:eastAsia="zh-CN"/>
        </w:rPr>
      </w:pPr>
      <w:r>
        <w:rPr>
          <w:rFonts w:hint="eastAsia"/>
        </w:rPr>
        <w:t>②</w:t>
      </w:r>
      <w:r>
        <w:t>重点工作</w:t>
      </w:r>
      <w:r>
        <w:rPr>
          <w:rFonts w:hint="eastAsia"/>
        </w:rPr>
        <w:t>2</w:t>
      </w:r>
      <w:r>
        <w:t>计划完成率</w:t>
      </w:r>
      <w:r>
        <w:rPr>
          <w:rFonts w:hint="eastAsia"/>
        </w:rPr>
        <w:t>：</w:t>
      </w:r>
      <w:r>
        <w:rPr>
          <w:rFonts w:hint="eastAsia"/>
          <w:lang w:eastAsia="zh-CN"/>
        </w:rPr>
        <w:t>统筹、协调、指导县委巡察组开展巡察工作，指导督导全县巡察工作</w:t>
      </w:r>
      <w:r>
        <w:rPr>
          <w:rFonts w:hint="eastAsia"/>
        </w:rPr>
        <w:t>，</w:t>
      </w:r>
      <w:r>
        <w:t>指标</w:t>
      </w:r>
      <w:r>
        <w:rPr>
          <w:rFonts w:hint="eastAsia"/>
          <w:lang w:val="en-US" w:eastAsia="zh-CN"/>
        </w:rPr>
        <w:t>4</w:t>
      </w:r>
      <w:r>
        <w:t>分，得</w:t>
      </w:r>
      <w:r>
        <w:rPr>
          <w:rFonts w:hint="eastAsia"/>
          <w:lang w:val="en-US" w:eastAsia="zh-CN"/>
        </w:rPr>
        <w:t>4</w:t>
      </w:r>
      <w:r>
        <w:t>分。重点工作</w:t>
      </w:r>
      <w:r>
        <w:rPr>
          <w:rFonts w:hint="eastAsia"/>
        </w:rPr>
        <w:t>2</w:t>
      </w:r>
      <w:r>
        <w:rPr>
          <w:rFonts w:hint="eastAsia"/>
          <w:lang w:eastAsia="zh-CN"/>
        </w:rPr>
        <w:t>实际</w:t>
      </w:r>
      <w:r>
        <w:t>完成率</w:t>
      </w:r>
      <w:r>
        <w:rPr>
          <w:rFonts w:hint="eastAsia"/>
        </w:rPr>
        <w:t>100%</w:t>
      </w:r>
      <w:r>
        <w:rPr>
          <w:rFonts w:hint="eastAsia"/>
          <w:lang w:eastAsia="zh-CN"/>
        </w:rPr>
        <w:t>。</w:t>
      </w:r>
    </w:p>
    <w:p>
      <w:pPr>
        <w:pStyle w:val="22"/>
        <w:bidi w:val="0"/>
        <w:rPr>
          <w:rFonts w:hint="eastAsia"/>
          <w:lang w:eastAsia="zh-CN"/>
        </w:rPr>
      </w:pPr>
      <w:r>
        <w:rPr>
          <w:rFonts w:hint="eastAsia"/>
          <w:lang w:eastAsia="zh-CN"/>
        </w:rPr>
        <w:t>③重点工作3计划完成率：对县委、巡察领导小组决定的事项和巡察整改落 实情况进行督查督办，承担巡察政策研究、制度建设、服务保障等工作，指标</w:t>
      </w:r>
      <w:r>
        <w:rPr>
          <w:rFonts w:hint="eastAsia"/>
          <w:lang w:val="en-US" w:eastAsia="zh-CN"/>
        </w:rPr>
        <w:t>4</w:t>
      </w:r>
      <w:r>
        <w:rPr>
          <w:rFonts w:hint="eastAsia"/>
          <w:lang w:eastAsia="zh-CN"/>
        </w:rPr>
        <w:t>分，得</w:t>
      </w:r>
      <w:r>
        <w:rPr>
          <w:rFonts w:hint="eastAsia"/>
          <w:lang w:val="en-US" w:eastAsia="zh-CN"/>
        </w:rPr>
        <w:t>4</w:t>
      </w:r>
      <w:r>
        <w:rPr>
          <w:rFonts w:hint="eastAsia"/>
          <w:lang w:eastAsia="zh-CN"/>
        </w:rPr>
        <w:t>分。</w:t>
      </w:r>
    </w:p>
    <w:p>
      <w:pPr>
        <w:pStyle w:val="22"/>
        <w:bidi w:val="0"/>
        <w:rPr>
          <w:rFonts w:hint="eastAsia"/>
          <w:lang w:eastAsia="zh-CN"/>
        </w:rPr>
      </w:pPr>
      <w:r>
        <w:rPr>
          <w:rFonts w:hint="eastAsia"/>
          <w:lang w:eastAsia="zh-CN"/>
        </w:rPr>
        <w:t>重点工作3实际完成率100%。</w:t>
      </w:r>
    </w:p>
    <w:p>
      <w:pPr>
        <w:pStyle w:val="22"/>
        <w:bidi w:val="0"/>
        <w:rPr>
          <w:rFonts w:hint="eastAsia"/>
          <w:lang w:val="en-US" w:eastAsia="zh-CN"/>
        </w:rPr>
      </w:pPr>
      <w:r>
        <w:rPr>
          <w:rFonts w:hint="eastAsia"/>
          <w:lang w:val="en-US" w:eastAsia="zh-CN"/>
        </w:rPr>
        <w:t>④重点工作4计划完成率：配合有关部门对巡察机构工作人员进行培训、考核、监督和管理，完成县委交办的其他任务，指标4分，得4分。</w:t>
      </w:r>
    </w:p>
    <w:p>
      <w:pPr>
        <w:pStyle w:val="22"/>
        <w:bidi w:val="0"/>
        <w:rPr>
          <w:rFonts w:hint="eastAsia"/>
          <w:lang w:eastAsia="zh-CN"/>
        </w:rPr>
      </w:pPr>
      <w:r>
        <w:rPr>
          <w:rFonts w:hint="eastAsia"/>
          <w:lang w:val="en-US" w:eastAsia="zh-CN"/>
        </w:rPr>
        <w:t>重点工作4实际完成率100%。</w:t>
      </w:r>
    </w:p>
    <w:p>
      <w:pPr>
        <w:pStyle w:val="22"/>
        <w:bidi w:val="0"/>
      </w:pPr>
      <w:r>
        <w:rPr>
          <w:rFonts w:hint="eastAsia"/>
        </w:rPr>
        <w:t>（2）履职目标实现</w:t>
      </w:r>
    </w:p>
    <w:p>
      <w:pPr>
        <w:pStyle w:val="22"/>
        <w:bidi w:val="0"/>
        <w:rPr>
          <w:rFonts w:hint="eastAsia"/>
        </w:rPr>
      </w:pPr>
      <w:r>
        <w:rPr>
          <w:rFonts w:hint="eastAsia"/>
        </w:rPr>
        <w:t>①年度工作目标1实现率：</w:t>
      </w:r>
      <w:r>
        <w:rPr>
          <w:rFonts w:hint="eastAsia"/>
          <w:lang w:eastAsia="zh-CN"/>
        </w:rPr>
        <w:t>向县委、巡察领导小组报告工作情况，传达贯彻 县委、巡察领导小组的决策和部署。 统筹、协调、指导县委巡察组开展巡察工作，指导督导全县巡察工作。</w:t>
      </w:r>
      <w:r>
        <w:rPr>
          <w:rFonts w:hint="eastAsia"/>
        </w:rPr>
        <w:t>。指标</w:t>
      </w:r>
      <w:r>
        <w:rPr>
          <w:rFonts w:hint="eastAsia"/>
          <w:lang w:val="en-US" w:eastAsia="zh-CN"/>
        </w:rPr>
        <w:t>3</w:t>
      </w:r>
      <w:r>
        <w:rPr>
          <w:rFonts w:hint="eastAsia"/>
        </w:rPr>
        <w:t>分，得</w:t>
      </w:r>
      <w:r>
        <w:rPr>
          <w:rFonts w:hint="eastAsia"/>
          <w:lang w:val="en-US" w:eastAsia="zh-CN"/>
        </w:rPr>
        <w:t>3</w:t>
      </w:r>
      <w:r>
        <w:rPr>
          <w:rFonts w:hint="eastAsia"/>
        </w:rPr>
        <w:t>分。</w:t>
      </w:r>
    </w:p>
    <w:p>
      <w:pPr>
        <w:pStyle w:val="22"/>
        <w:bidi w:val="0"/>
        <w:rPr>
          <w:rFonts w:hint="eastAsia"/>
          <w:lang w:eastAsia="zh-CN"/>
        </w:rPr>
      </w:pPr>
      <w:r>
        <w:rPr>
          <w:rFonts w:hint="eastAsia"/>
        </w:rPr>
        <w:t>年度工作目标1实现率100%</w:t>
      </w:r>
      <w:r>
        <w:rPr>
          <w:rFonts w:hint="eastAsia"/>
          <w:lang w:eastAsia="zh-CN"/>
        </w:rPr>
        <w:t>。</w:t>
      </w:r>
    </w:p>
    <w:p>
      <w:pPr>
        <w:pStyle w:val="22"/>
        <w:bidi w:val="0"/>
        <w:rPr>
          <w:rFonts w:hint="eastAsia"/>
          <w:lang w:eastAsia="zh-CN"/>
        </w:rPr>
      </w:pPr>
      <w:r>
        <w:rPr>
          <w:rFonts w:hint="eastAsia"/>
        </w:rPr>
        <w:t>②年度工作目标2实现率：</w:t>
      </w:r>
      <w:r>
        <w:rPr>
          <w:rFonts w:hint="eastAsia"/>
          <w:lang w:eastAsia="zh-CN"/>
        </w:rPr>
        <w:t>对县委、巡察领导小组决定的事项和巡察整改落 实情况进行督查督办，承担巡察政策研究、制度建设、服务保障等工作。指标</w:t>
      </w:r>
      <w:r>
        <w:rPr>
          <w:rFonts w:hint="eastAsia"/>
          <w:lang w:val="en-US" w:eastAsia="zh-CN"/>
        </w:rPr>
        <w:t>3</w:t>
      </w:r>
      <w:r>
        <w:rPr>
          <w:rFonts w:hint="eastAsia"/>
          <w:lang w:eastAsia="zh-CN"/>
        </w:rPr>
        <w:t>分，得</w:t>
      </w:r>
      <w:r>
        <w:rPr>
          <w:rFonts w:hint="eastAsia"/>
          <w:lang w:val="en-US" w:eastAsia="zh-CN"/>
        </w:rPr>
        <w:t>3</w:t>
      </w:r>
      <w:r>
        <w:rPr>
          <w:rFonts w:hint="eastAsia"/>
          <w:lang w:eastAsia="zh-CN"/>
        </w:rPr>
        <w:t>分。</w:t>
      </w:r>
    </w:p>
    <w:p>
      <w:pPr>
        <w:pStyle w:val="22"/>
        <w:bidi w:val="0"/>
        <w:rPr>
          <w:rFonts w:hint="eastAsia"/>
          <w:lang w:eastAsia="zh-CN"/>
        </w:rPr>
      </w:pPr>
      <w:r>
        <w:rPr>
          <w:rFonts w:hint="eastAsia"/>
          <w:lang w:eastAsia="zh-CN"/>
        </w:rPr>
        <w:t>年度工作目标2实现率100%。</w:t>
      </w:r>
    </w:p>
    <w:p>
      <w:pPr>
        <w:pStyle w:val="22"/>
        <w:bidi w:val="0"/>
        <w:rPr>
          <w:rFonts w:hint="eastAsia"/>
          <w:lang w:eastAsia="zh-CN"/>
        </w:rPr>
      </w:pPr>
      <w:r>
        <w:rPr>
          <w:rFonts w:hint="eastAsia"/>
          <w:lang w:eastAsia="zh-CN"/>
        </w:rPr>
        <w:t>③年度工作目标3实现率：配合有关部门对巡察机构工作人员进行培训、考 核、监督和管理，完成县委交办的其他任务。指标</w:t>
      </w:r>
      <w:r>
        <w:rPr>
          <w:rFonts w:hint="eastAsia"/>
          <w:lang w:val="en-US" w:eastAsia="zh-CN"/>
        </w:rPr>
        <w:t>3</w:t>
      </w:r>
      <w:r>
        <w:rPr>
          <w:rFonts w:hint="eastAsia"/>
          <w:lang w:eastAsia="zh-CN"/>
        </w:rPr>
        <w:t>分，得</w:t>
      </w:r>
      <w:r>
        <w:rPr>
          <w:rFonts w:hint="eastAsia"/>
          <w:lang w:val="en-US" w:eastAsia="zh-CN"/>
        </w:rPr>
        <w:t>3</w:t>
      </w:r>
      <w:r>
        <w:rPr>
          <w:rFonts w:hint="eastAsia"/>
          <w:lang w:eastAsia="zh-CN"/>
        </w:rPr>
        <w:t>分。</w:t>
      </w:r>
    </w:p>
    <w:p>
      <w:pPr>
        <w:pStyle w:val="22"/>
        <w:bidi w:val="0"/>
        <w:rPr>
          <w:rFonts w:hint="eastAsia"/>
          <w:highlight w:val="yellow"/>
          <w:lang w:eastAsia="zh-CN"/>
        </w:rPr>
      </w:pPr>
      <w:r>
        <w:rPr>
          <w:rFonts w:hint="eastAsia"/>
          <w:lang w:eastAsia="zh-CN"/>
        </w:rPr>
        <w:t>年度工作目标3实现率100%。</w:t>
      </w:r>
    </w:p>
    <w:p>
      <w:pPr>
        <w:pStyle w:val="22"/>
        <w:bidi w:val="0"/>
      </w:pPr>
      <w:r>
        <w:t>3.效益指标完成情况分析</w:t>
      </w:r>
    </w:p>
    <w:p>
      <w:pPr>
        <w:pStyle w:val="22"/>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2"/>
        <w:bidi w:val="0"/>
        <w:rPr>
          <w:highlight w:val="none"/>
        </w:rPr>
      </w:pPr>
      <w:r>
        <w:rPr>
          <w:rFonts w:hint="eastAsia"/>
          <w:highlight w:val="none"/>
        </w:rPr>
        <w:t>对办公环境和办公条件的改善，</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2"/>
        <w:bidi w:val="0"/>
        <w:rPr>
          <w:highlight w:val="none"/>
        </w:rPr>
      </w:pPr>
      <w:r>
        <w:rPr>
          <w:rFonts w:hint="eastAsia"/>
          <w:highlight w:val="none"/>
          <w:lang w:eastAsia="zh-CN"/>
        </w:rPr>
        <w:t>在工作中和个别干部谈话中对办公环境和办公条件基本满意，今后工作中加强办公条件和办公环境的提升</w:t>
      </w:r>
      <w:r>
        <w:rPr>
          <w:highlight w:val="none"/>
        </w:rPr>
        <w:t>。根据评分规则，该指标得</w:t>
      </w:r>
      <w:r>
        <w:rPr>
          <w:rFonts w:hint="eastAsia"/>
          <w:highlight w:val="none"/>
          <w:lang w:val="en-US" w:eastAsia="zh-CN"/>
        </w:rPr>
        <w:t>4</w:t>
      </w:r>
      <w:r>
        <w:rPr>
          <w:highlight w:val="none"/>
        </w:rPr>
        <w:t>分。</w:t>
      </w:r>
    </w:p>
    <w:p>
      <w:pPr>
        <w:pStyle w:val="22"/>
        <w:bidi w:val="0"/>
        <w:rPr>
          <w:rFonts w:hint="eastAsia"/>
          <w:highlight w:val="none"/>
          <w:lang w:eastAsia="zh-CN"/>
        </w:rPr>
      </w:pPr>
      <w:r>
        <w:rPr>
          <w:rFonts w:hint="eastAsia"/>
          <w:highlight w:val="none"/>
          <w:lang w:eastAsia="zh-CN"/>
        </w:rPr>
        <w:t>（</w:t>
      </w:r>
      <w:r>
        <w:rPr>
          <w:rFonts w:hint="eastAsia"/>
          <w:highlight w:val="none"/>
          <w:lang w:val="en-US" w:eastAsia="zh-CN"/>
        </w:rPr>
        <w:t>4</w:t>
      </w:r>
      <w:r>
        <w:rPr>
          <w:rFonts w:hint="eastAsia"/>
          <w:highlight w:val="none"/>
          <w:lang w:eastAsia="zh-CN"/>
        </w:rPr>
        <w:t>）满意度</w:t>
      </w:r>
    </w:p>
    <w:p>
      <w:pPr>
        <w:pStyle w:val="22"/>
        <w:bidi w:val="0"/>
        <w:rPr>
          <w:rFonts w:hint="eastAsia"/>
          <w:highlight w:val="none"/>
          <w:lang w:eastAsia="zh-CN"/>
        </w:rPr>
      </w:pPr>
      <w:r>
        <w:rPr>
          <w:rFonts w:hint="eastAsia"/>
          <w:highlight w:val="none"/>
          <w:lang w:eastAsia="zh-CN"/>
        </w:rPr>
        <w:t>被巡视巡察对象全年投诉率为</w:t>
      </w:r>
      <w:r>
        <w:rPr>
          <w:rFonts w:hint="eastAsia"/>
          <w:highlight w:val="none"/>
          <w:lang w:val="en-US" w:eastAsia="zh-CN"/>
        </w:rPr>
        <w:t>0%，达到预期目标</w:t>
      </w:r>
      <w:r>
        <w:rPr>
          <w:rFonts w:hint="eastAsia"/>
          <w:highlight w:val="none"/>
          <w:lang w:eastAsia="zh-CN"/>
        </w:rPr>
        <w:t>，指标</w:t>
      </w:r>
      <w:r>
        <w:rPr>
          <w:rFonts w:hint="eastAsia"/>
          <w:highlight w:val="none"/>
          <w:lang w:val="en-US" w:eastAsia="zh-CN"/>
        </w:rPr>
        <w:t>15</w:t>
      </w:r>
      <w:r>
        <w:rPr>
          <w:rFonts w:hint="eastAsia"/>
          <w:highlight w:val="none"/>
          <w:lang w:eastAsia="zh-CN"/>
        </w:rPr>
        <w:t>分，得</w:t>
      </w:r>
      <w:r>
        <w:rPr>
          <w:rFonts w:hint="eastAsia"/>
          <w:highlight w:val="none"/>
          <w:lang w:val="en-US" w:eastAsia="zh-CN"/>
        </w:rPr>
        <w:t>15</w:t>
      </w:r>
      <w:r>
        <w:rPr>
          <w:rFonts w:hint="eastAsia"/>
          <w:highlight w:val="none"/>
          <w:lang w:eastAsia="zh-CN"/>
        </w:rPr>
        <w:t>分。</w:t>
      </w:r>
    </w:p>
    <w:p>
      <w:pPr>
        <w:pStyle w:val="22"/>
        <w:bidi w:val="0"/>
        <w:rPr>
          <w:rFonts w:hint="eastAsia" w:eastAsia="仿宋"/>
          <w:highlight w:val="none"/>
          <w:lang w:eastAsia="zh-CN"/>
        </w:rPr>
      </w:pPr>
      <w:r>
        <w:rPr>
          <w:rFonts w:hint="eastAsia"/>
          <w:highlight w:val="none"/>
          <w:lang w:eastAsia="zh-CN"/>
        </w:rPr>
        <w:t>通过与被巡察单位的党员干部谈话</w:t>
      </w:r>
      <w:r>
        <w:rPr>
          <w:rFonts w:hint="eastAsia"/>
          <w:highlight w:val="none"/>
          <w:lang w:val="en-US" w:eastAsia="zh-CN"/>
        </w:rPr>
        <w:t>10人</w:t>
      </w:r>
      <w:r>
        <w:rPr>
          <w:rFonts w:hint="eastAsia"/>
          <w:highlight w:val="none"/>
          <w:lang w:eastAsia="zh-CN"/>
        </w:rPr>
        <w:t>，其中</w:t>
      </w:r>
      <w:r>
        <w:rPr>
          <w:rFonts w:hint="eastAsia"/>
          <w:highlight w:val="none"/>
          <w:lang w:val="en-US" w:eastAsia="zh-CN"/>
        </w:rPr>
        <w:t>10人非常满意</w:t>
      </w:r>
      <w:r>
        <w:rPr>
          <w:rFonts w:hint="eastAsia"/>
          <w:highlight w:val="none"/>
          <w:lang w:eastAsia="zh-CN"/>
        </w:rPr>
        <w:t>，</w:t>
      </w:r>
      <w:r>
        <w:rPr>
          <w:rFonts w:hint="eastAsia"/>
          <w:highlight w:val="none"/>
          <w:lang w:val="en-US" w:eastAsia="zh-CN"/>
        </w:rPr>
        <w:t>满意度100</w:t>
      </w:r>
      <w:r>
        <w:rPr>
          <w:rFonts w:hint="eastAsia"/>
          <w:highlight w:val="none"/>
          <w:lang w:eastAsia="zh-CN"/>
        </w:rPr>
        <w:t>%。根据评分规则，该指标得</w:t>
      </w:r>
      <w:r>
        <w:rPr>
          <w:rFonts w:hint="eastAsia"/>
          <w:highlight w:val="none"/>
          <w:lang w:val="en-US" w:eastAsia="zh-CN"/>
        </w:rPr>
        <w:t>15</w:t>
      </w:r>
      <w:r>
        <w:rPr>
          <w:rFonts w:hint="eastAsia"/>
          <w:highlight w:val="none"/>
          <w:lang w:eastAsia="zh-CN"/>
        </w:rPr>
        <w:t>分，得分</w:t>
      </w:r>
      <w:r>
        <w:rPr>
          <w:rFonts w:hint="eastAsia"/>
          <w:highlight w:val="none"/>
          <w:lang w:val="en-US" w:eastAsia="zh-CN"/>
        </w:rPr>
        <w:t>15分</w:t>
      </w:r>
      <w:r>
        <w:rPr>
          <w:rFonts w:hint="eastAsia"/>
          <w:highlight w:val="none"/>
          <w:lang w:eastAsia="zh-CN"/>
        </w:rPr>
        <w:t>。</w:t>
      </w:r>
    </w:p>
    <w:p>
      <w:pPr>
        <w:pStyle w:val="3"/>
        <w:bidi w:val="0"/>
        <w:rPr>
          <w:color w:val="auto"/>
        </w:rPr>
      </w:pPr>
      <w:bookmarkStart w:id="24" w:name="_Toc22457"/>
      <w:r>
        <w:rPr>
          <w:color w:val="auto"/>
        </w:rPr>
        <w:t>五、发现的主要问题和改进措施</w:t>
      </w:r>
      <w:bookmarkEnd w:id="24"/>
    </w:p>
    <w:p>
      <w:pPr>
        <w:pStyle w:val="22"/>
        <w:bidi w:val="0"/>
      </w:pPr>
      <w:r>
        <w:t>通过本次绩效自评</w:t>
      </w:r>
      <w:r>
        <w:rPr>
          <w:rFonts w:hint="eastAsia"/>
        </w:rPr>
        <w:t>，</w:t>
      </w:r>
      <w:r>
        <w:t>我</w:t>
      </w:r>
      <w:r>
        <w:rPr>
          <w:rFonts w:hint="eastAsia"/>
        </w:rPr>
        <w:t>单位</w:t>
      </w:r>
      <w:r>
        <w:t>在预算支出管理方面还存在以下几方面</w:t>
      </w:r>
      <w:r>
        <w:rPr>
          <w:rFonts w:hint="eastAsia"/>
          <w:lang w:val="en-US" w:eastAsia="zh-CN"/>
        </w:rPr>
        <w:t>的</w:t>
      </w:r>
      <w:r>
        <w:t>问题：</w:t>
      </w:r>
    </w:p>
    <w:p>
      <w:pPr>
        <w:pStyle w:val="4"/>
        <w:bidi w:val="0"/>
      </w:pPr>
      <w:bookmarkStart w:id="25" w:name="_Toc1104"/>
      <w:r>
        <w:rPr>
          <w:rFonts w:hint="eastAsia"/>
        </w:rPr>
        <w:t>（一）</w:t>
      </w:r>
      <w:r>
        <w:t>发现的主要问题</w:t>
      </w:r>
      <w:bookmarkEnd w:id="25"/>
    </w:p>
    <w:p>
      <w:pPr>
        <w:pStyle w:val="22"/>
        <w:bidi w:val="0"/>
        <w:rPr>
          <w:rFonts w:hint="eastAsia"/>
          <w:lang w:eastAsia="zh-CN"/>
        </w:rPr>
      </w:pPr>
      <w:r>
        <w:rPr>
          <w:rFonts w:hint="eastAsia"/>
          <w:highlight w:val="none"/>
        </w:rPr>
        <w:t>1.</w:t>
      </w:r>
      <w:r>
        <w:rPr>
          <w:rFonts w:hint="eastAsia"/>
          <w:color w:val="auto"/>
          <w:highlight w:val="none"/>
        </w:rPr>
        <w:t>我单位发现部门自身对绩效管理存在欠缺，全员对绩效管理认识有待提高。在2021年设置绩效目标及绩效指标时，部分绩效目标和绩效指标设置的合理性不足</w:t>
      </w:r>
      <w:r>
        <w:rPr>
          <w:rFonts w:hint="eastAsia"/>
          <w:color w:val="auto"/>
          <w:highlight w:val="none"/>
          <w:lang w:val="en-US" w:eastAsia="zh-CN"/>
        </w:rPr>
        <w:t>.</w:t>
      </w:r>
    </w:p>
    <w:p>
      <w:pPr>
        <w:pStyle w:val="4"/>
        <w:bidi w:val="0"/>
        <w:rPr>
          <w:lang w:val="zh-CN"/>
        </w:rPr>
      </w:pPr>
      <w:bookmarkStart w:id="26" w:name="_Toc17027"/>
      <w:r>
        <w:rPr>
          <w:rFonts w:hint="eastAsia"/>
        </w:rPr>
        <w:t>（二）</w:t>
      </w:r>
      <w:r>
        <w:rPr>
          <w:lang w:val="zh-CN"/>
        </w:rPr>
        <w:t>下一步改进措施</w:t>
      </w:r>
      <w:bookmarkEnd w:id="26"/>
    </w:p>
    <w:p>
      <w:pPr>
        <w:pStyle w:val="22"/>
        <w:bidi w:val="0"/>
        <w:rPr>
          <w:lang w:val="zh-CN"/>
        </w:rPr>
      </w:pPr>
      <w:r>
        <w:rPr>
          <w:lang w:val="zh-CN"/>
        </w:rPr>
        <w:t>根据今后的工作任务和要求，吸取前年工作的经验，明确努力方向，加强绩效评价在目标上的设定，完善绩效评价内容。</w:t>
      </w:r>
    </w:p>
    <w:p>
      <w:pPr>
        <w:pStyle w:val="22"/>
        <w:bidi w:val="0"/>
        <w:rPr>
          <w:rFonts w:hint="eastAsia"/>
          <w:color w:val="auto"/>
          <w:highlight w:val="none"/>
        </w:rPr>
      </w:pPr>
      <w:r>
        <w:rPr>
          <w:rFonts w:hint="eastAsia"/>
          <w:highlight w:val="none"/>
        </w:rPr>
        <w:t>1.</w:t>
      </w:r>
      <w:r>
        <w:rPr>
          <w:rFonts w:hint="eastAsia"/>
          <w:color w:val="auto"/>
          <w:highlight w:val="none"/>
        </w:rPr>
        <w:t>强化宣传培训，筑牢预算绩效管理理念</w:t>
      </w:r>
    </w:p>
    <w:p>
      <w:pPr>
        <w:pStyle w:val="22"/>
        <w:bidi w:val="0"/>
        <w:rPr>
          <w:highlight w:val="none"/>
        </w:rPr>
      </w:pPr>
      <w:r>
        <w:rPr>
          <w:rFonts w:hint="eastAsia"/>
          <w:color w:val="auto"/>
          <w:highlight w:val="none"/>
        </w:rPr>
        <w:t>建议从强基础、严机制的角度入手，持续加大宣传培训力度，对项目实施单位开展绩效管理政策理论、规章制度和操作技术培训。</w:t>
      </w:r>
    </w:p>
    <w:p>
      <w:pPr>
        <w:pStyle w:val="22"/>
        <w:bidi w:val="0"/>
        <w:rPr>
          <w:rFonts w:hint="eastAsia"/>
          <w:color w:val="auto"/>
          <w:highlight w:val="none"/>
        </w:rPr>
      </w:pPr>
      <w:bookmarkStart w:id="27" w:name="_Toc9662"/>
      <w:bookmarkStart w:id="28" w:name="_Toc4527"/>
      <w:r>
        <w:rPr>
          <w:rFonts w:hint="eastAsia"/>
          <w:highlight w:val="none"/>
        </w:rPr>
        <w:t>2.</w:t>
      </w:r>
      <w:bookmarkEnd w:id="27"/>
      <w:r>
        <w:rPr>
          <w:rFonts w:hint="eastAsia"/>
          <w:color w:val="auto"/>
          <w:highlight w:val="none"/>
        </w:rPr>
        <w:t>层层压实责任，纵深推进绩效管理工作</w:t>
      </w:r>
    </w:p>
    <w:p>
      <w:pPr>
        <w:pStyle w:val="22"/>
        <w:bidi w:val="0"/>
      </w:pPr>
      <w:r>
        <w:rPr>
          <w:rFonts w:hint="eastAsia"/>
          <w:color w:val="auto"/>
          <w:highlight w:val="none"/>
        </w:rPr>
        <w:t>一是压实主管部门指导培训责任,充分发挥其熟悉项目的优势，做好绩效目标设定、指标设置和完成情况认定等方面的指导培训工作。二是压实资金使用单位项目绩效管理主体责任，结合项目资金绩效管理相关要求，在项目库建设、项目绩效目标申报、项目执行等环节，做实做细项目绩效管理工作。</w:t>
      </w:r>
    </w:p>
    <w:p>
      <w:pPr>
        <w:pStyle w:val="4"/>
        <w:bidi w:val="0"/>
      </w:pPr>
      <w:bookmarkStart w:id="29" w:name="_Toc23218"/>
      <w:r>
        <w:rPr>
          <w:rFonts w:hint="eastAsia"/>
        </w:rPr>
        <w:t>（三）绩效自评结果应用</w:t>
      </w:r>
      <w:bookmarkEnd w:id="29"/>
    </w:p>
    <w:bookmarkEnd w:id="28"/>
    <w:p>
      <w:pPr>
        <w:pStyle w:val="22"/>
        <w:bidi w:val="0"/>
        <w:rPr>
          <w:b/>
          <w:bCs/>
          <w:color w:val="auto"/>
          <w:highlight w:val="none"/>
        </w:rPr>
      </w:pPr>
      <w:bookmarkStart w:id="30" w:name="_Toc32190"/>
      <w:r>
        <w:rPr>
          <w:rFonts w:hint="eastAsia"/>
          <w:b/>
          <w:bCs/>
          <w:color w:val="auto"/>
          <w:highlight w:val="none"/>
        </w:rPr>
        <w:t>1.</w:t>
      </w:r>
      <w:r>
        <w:rPr>
          <w:b/>
          <w:bCs/>
          <w:color w:val="auto"/>
          <w:highlight w:val="none"/>
        </w:rPr>
        <w:t>以绩效评价结果应用为目标，坚持报告与公开相结合</w:t>
      </w:r>
    </w:p>
    <w:p>
      <w:pPr>
        <w:pStyle w:val="22"/>
        <w:bidi w:val="0"/>
        <w:rPr>
          <w:color w:val="auto"/>
          <w:highlight w:val="none"/>
        </w:rPr>
      </w:pPr>
      <w:r>
        <w:rPr>
          <w:color w:val="auto"/>
          <w:highlight w:val="none"/>
        </w:rPr>
        <w:t>为加强绩效评价结果的应用，根据</w:t>
      </w:r>
      <w:r>
        <w:rPr>
          <w:rFonts w:hint="eastAsia"/>
          <w:color w:val="auto"/>
          <w:highlight w:val="none"/>
          <w:lang w:eastAsia="zh-CN"/>
        </w:rPr>
        <w:t>县</w:t>
      </w:r>
      <w:r>
        <w:rPr>
          <w:rFonts w:hint="eastAsia"/>
          <w:color w:val="auto"/>
          <w:highlight w:val="none"/>
        </w:rPr>
        <w:t>财政局</w:t>
      </w:r>
      <w:r>
        <w:rPr>
          <w:rFonts w:hint="eastAsia"/>
          <w:color w:val="auto"/>
          <w:highlight w:val="none"/>
          <w:lang w:val="en-US" w:eastAsia="zh-CN"/>
        </w:rPr>
        <w:t>《关于开展2021年度部门整体支出绩效自评工作的通知》</w:t>
      </w:r>
      <w:r>
        <w:rPr>
          <w:rFonts w:hint="eastAsia"/>
          <w:color w:val="auto"/>
          <w:highlight w:val="none"/>
        </w:rPr>
        <w:t>文件</w:t>
      </w:r>
      <w:r>
        <w:rPr>
          <w:color w:val="auto"/>
          <w:highlight w:val="none"/>
        </w:rPr>
        <w:t>的要求，</w:t>
      </w:r>
      <w:r>
        <w:rPr>
          <w:rFonts w:hint="eastAsia"/>
          <w:color w:val="auto"/>
          <w:highlight w:val="none"/>
          <w:lang w:eastAsia="zh-CN"/>
        </w:rPr>
        <w:t>2021</w:t>
      </w:r>
      <w:r>
        <w:rPr>
          <w:color w:val="auto"/>
          <w:highlight w:val="none"/>
        </w:rPr>
        <w:t>年度</w:t>
      </w:r>
      <w:r>
        <w:rPr>
          <w:rFonts w:hint="eastAsia"/>
          <w:color w:val="auto"/>
          <w:highlight w:val="none"/>
        </w:rPr>
        <w:t>局部门整体绩效自评报告及自评表按时</w:t>
      </w:r>
      <w:r>
        <w:rPr>
          <w:color w:val="auto"/>
          <w:highlight w:val="none"/>
        </w:rPr>
        <w:t>上报财政</w:t>
      </w:r>
      <w:r>
        <w:rPr>
          <w:rFonts w:hint="eastAsia"/>
          <w:color w:val="auto"/>
          <w:highlight w:val="none"/>
        </w:rPr>
        <w:t>局，将绩效评价结果应用于下一年的预算编制</w:t>
      </w:r>
      <w:r>
        <w:rPr>
          <w:color w:val="auto"/>
          <w:highlight w:val="none"/>
        </w:rPr>
        <w:t>。</w:t>
      </w:r>
    </w:p>
    <w:p>
      <w:pPr>
        <w:pStyle w:val="22"/>
        <w:bidi w:val="0"/>
        <w:rPr>
          <w:b/>
          <w:bCs/>
          <w:color w:val="auto"/>
          <w:highlight w:val="none"/>
        </w:rPr>
      </w:pPr>
      <w:bookmarkStart w:id="31" w:name="_Toc1950"/>
      <w:r>
        <w:rPr>
          <w:rFonts w:hint="eastAsia"/>
          <w:b/>
          <w:bCs/>
          <w:color w:val="auto"/>
          <w:highlight w:val="none"/>
        </w:rPr>
        <w:t>2</w:t>
      </w:r>
      <w:r>
        <w:rPr>
          <w:rFonts w:hint="eastAsia"/>
          <w:b/>
          <w:bCs/>
          <w:color w:val="auto"/>
          <w:highlight w:val="none"/>
          <w:lang w:eastAsia="zh-CN"/>
        </w:rPr>
        <w:t>.</w:t>
      </w:r>
      <w:r>
        <w:rPr>
          <w:b/>
          <w:bCs/>
          <w:color w:val="auto"/>
          <w:highlight w:val="none"/>
        </w:rPr>
        <w:t>以绩效评价反馈问题为导向，提出整改的思路和办法</w:t>
      </w:r>
      <w:bookmarkEnd w:id="31"/>
    </w:p>
    <w:p>
      <w:pPr>
        <w:pStyle w:val="22"/>
        <w:bidi w:val="0"/>
        <w:rPr>
          <w:color w:val="auto"/>
          <w:highlight w:val="none"/>
          <w:lang w:val="zh-CN"/>
        </w:rPr>
      </w:pPr>
      <w:r>
        <w:rPr>
          <w:color w:val="auto"/>
          <w:highlight w:val="none"/>
        </w:rPr>
        <w:t>根据绩效</w:t>
      </w:r>
      <w:r>
        <w:rPr>
          <w:rFonts w:hint="eastAsia"/>
          <w:color w:val="auto"/>
          <w:highlight w:val="none"/>
        </w:rPr>
        <w:t>自评</w:t>
      </w:r>
      <w:r>
        <w:rPr>
          <w:color w:val="auto"/>
          <w:highlight w:val="none"/>
        </w:rPr>
        <w:t>结果，要求各</w:t>
      </w:r>
      <w:r>
        <w:rPr>
          <w:rFonts w:hint="eastAsia"/>
          <w:color w:val="auto"/>
          <w:highlight w:val="none"/>
        </w:rPr>
        <w:t>业务单位</w:t>
      </w:r>
      <w:r>
        <w:rPr>
          <w:color w:val="auto"/>
          <w:highlight w:val="none"/>
        </w:rPr>
        <w:t>进一步分析绩效目标未完成的原因，发现部门工作存在的问题，提出整改思路和解决办法，以问题为导向，扎实推进</w:t>
      </w:r>
      <w:r>
        <w:rPr>
          <w:rFonts w:hint="eastAsia"/>
          <w:color w:val="auto"/>
          <w:highlight w:val="none"/>
          <w:lang w:eastAsia="zh-CN"/>
        </w:rPr>
        <w:t>我单位</w:t>
      </w:r>
      <w:r>
        <w:rPr>
          <w:rFonts w:hint="eastAsia"/>
          <w:color w:val="auto"/>
          <w:highlight w:val="none"/>
        </w:rPr>
        <w:t>各项工作</w:t>
      </w:r>
      <w:r>
        <w:rPr>
          <w:color w:val="auto"/>
          <w:highlight w:val="none"/>
        </w:rPr>
        <w:t>发展</w:t>
      </w:r>
      <w:r>
        <w:rPr>
          <w:rFonts w:hint="eastAsia"/>
          <w:color w:val="auto"/>
          <w:highlight w:val="none"/>
        </w:rPr>
        <w:t>。</w:t>
      </w:r>
    </w:p>
    <w:p>
      <w:pPr>
        <w:pStyle w:val="3"/>
        <w:bidi w:val="0"/>
        <w:rPr>
          <w:color w:val="auto"/>
        </w:rPr>
      </w:pPr>
      <w:r>
        <w:rPr>
          <w:rFonts w:hint="eastAsia"/>
          <w:color w:val="auto"/>
        </w:rPr>
        <w:t>六、有关建议</w:t>
      </w:r>
      <w:bookmarkEnd w:id="30"/>
    </w:p>
    <w:p>
      <w:pPr>
        <w:pStyle w:val="22"/>
        <w:bidi w:val="0"/>
        <w:rPr>
          <w:highlight w:val="none"/>
        </w:rPr>
      </w:pPr>
      <w:bookmarkStart w:id="32" w:name="_Toc26117"/>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rPr>
      </w:pPr>
      <w:r>
        <w:rPr>
          <w:color w:val="auto"/>
        </w:rPr>
        <w:t>七、</w:t>
      </w:r>
      <w:r>
        <w:rPr>
          <w:rFonts w:hint="eastAsia"/>
          <w:color w:val="auto"/>
        </w:rPr>
        <w:t>其他需要说明的问题</w:t>
      </w:r>
      <w:bookmarkEnd w:id="32"/>
    </w:p>
    <w:p>
      <w:pPr>
        <w:pStyle w:val="4"/>
        <w:bidi w:val="0"/>
      </w:pPr>
      <w:bookmarkStart w:id="33" w:name="_Toc15457"/>
      <w:bookmarkStart w:id="34" w:name="_Toc85"/>
      <w:r>
        <w:rPr>
          <w:rFonts w:hint="eastAsia"/>
        </w:rPr>
        <w:t>（一）绩效自评工作经验</w:t>
      </w:r>
      <w:bookmarkEnd w:id="33"/>
      <w:bookmarkEnd w:id="34"/>
    </w:p>
    <w:p>
      <w:pPr>
        <w:pStyle w:val="22"/>
        <w:bidi w:val="0"/>
        <w:rPr>
          <w:highlight w:val="none"/>
        </w:rPr>
      </w:pPr>
      <w:bookmarkStart w:id="35" w:name="_Toc5863"/>
      <w:bookmarkStart w:id="36" w:name="_Toc16742"/>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pPr>
      <w:r>
        <w:rPr>
          <w:rFonts w:hint="eastAsia"/>
        </w:rPr>
        <w:t>（二）绩效自评工作发现的</w:t>
      </w:r>
      <w:r>
        <w:rPr>
          <w:rFonts w:hint="eastAsia"/>
          <w:lang w:val="en-US" w:eastAsia="zh-CN"/>
        </w:rPr>
        <w:t>其他</w:t>
      </w:r>
      <w:r>
        <w:rPr>
          <w:rFonts w:hint="eastAsia"/>
        </w:rPr>
        <w:t>问题</w:t>
      </w:r>
      <w:bookmarkEnd w:id="35"/>
      <w:bookmarkEnd w:id="36"/>
    </w:p>
    <w:p>
      <w:pPr>
        <w:pStyle w:val="22"/>
        <w:bidi w:val="0"/>
        <w:rPr>
          <w:rFonts w:hint="default" w:eastAsia="仿宋"/>
          <w:highlight w:val="none"/>
          <w:lang w:val="en-US" w:eastAsia="zh-CN"/>
        </w:rPr>
      </w:pPr>
      <w:bookmarkStart w:id="37" w:name="_Toc32143"/>
      <w:bookmarkStart w:id="38" w:name="_Toc20640"/>
      <w:bookmarkStart w:id="39" w:name="_Toc24424"/>
      <w:r>
        <w:rPr>
          <w:rFonts w:hint="eastAsia"/>
          <w:highlight w:val="none"/>
          <w:lang w:val="en-US" w:eastAsia="zh-CN"/>
        </w:rPr>
        <w:t>无。</w:t>
      </w:r>
    </w:p>
    <w:p>
      <w:pPr>
        <w:rPr>
          <w:rFonts w:hint="eastAsia"/>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bookmarkEnd w:id="37"/>
    <w:bookmarkEnd w:id="38"/>
    <w:bookmarkEnd w:id="39"/>
    <w:tbl>
      <w:tblPr>
        <w:tblStyle w:val="15"/>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1"/>
        <w:gridCol w:w="1398"/>
        <w:gridCol w:w="1300"/>
        <w:gridCol w:w="986"/>
        <w:gridCol w:w="1980"/>
        <w:gridCol w:w="1653"/>
        <w:gridCol w:w="2189"/>
        <w:gridCol w:w="1551"/>
        <w:gridCol w:w="1704"/>
        <w:gridCol w:w="13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474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附件</w:t>
            </w:r>
            <w:r>
              <w:rPr>
                <w:rFonts w:ascii="Calibri" w:hAnsi="Calibri" w:eastAsia="黑体" w:cs="Calibri"/>
                <w:b/>
                <w:bCs/>
                <w:i w:val="0"/>
                <w:iCs w:val="0"/>
                <w:color w:val="000000"/>
                <w:kern w:val="0"/>
                <w:sz w:val="28"/>
                <w:szCs w:val="28"/>
                <w:u w:val="none"/>
                <w:lang w:val="en-US" w:eastAsia="zh-CN" w:bidi="ar"/>
              </w:rPr>
              <w:t>1</w:t>
            </w:r>
            <w:r>
              <w:rPr>
                <w:rFonts w:hint="eastAsia" w:ascii="黑体" w:hAnsi="宋体" w:eastAsia="黑体" w:cs="黑体"/>
                <w:b/>
                <w:bCs/>
                <w:i w:val="0"/>
                <w:iCs w:val="0"/>
                <w:color w:val="000000"/>
                <w:kern w:val="0"/>
                <w:sz w:val="28"/>
                <w:szCs w:val="28"/>
                <w:u w:val="none"/>
                <w:lang w:val="en-US" w:eastAsia="zh-CN" w:bidi="ar"/>
              </w:rPr>
              <w:t>：</w:t>
            </w:r>
            <w:r>
              <w:rPr>
                <w:rFonts w:ascii="Calibri" w:hAnsi="Calibri" w:eastAsia="黑体" w:cs="Calibri"/>
                <w:b/>
                <w:bCs/>
                <w:i w:val="0"/>
                <w:iCs w:val="0"/>
                <w:color w:val="000000"/>
                <w:kern w:val="0"/>
                <w:sz w:val="28"/>
                <w:szCs w:val="28"/>
                <w:u w:val="none"/>
                <w:lang w:val="en-US" w:eastAsia="zh-CN" w:bidi="ar"/>
              </w:rPr>
              <w:t>2021</w:t>
            </w:r>
            <w:r>
              <w:rPr>
                <w:rFonts w:hint="eastAsia" w:ascii="黑体" w:hAnsi="宋体" w:eastAsia="黑体" w:cs="黑体"/>
                <w:b/>
                <w:bCs/>
                <w:i w:val="0"/>
                <w:iCs w:val="0"/>
                <w:color w:val="000000"/>
                <w:kern w:val="0"/>
                <w:sz w:val="28"/>
                <w:szCs w:val="28"/>
                <w:u w:val="none"/>
                <w:lang w:val="en-US" w:eastAsia="zh-CN" w:bidi="ar"/>
              </w:rPr>
              <w:t>年度部门整体绩效自评表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474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327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480" w:lineRule="auto"/>
              <w:jc w:val="left"/>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部门（单位）名称</w:t>
            </w:r>
          </w:p>
        </w:tc>
        <w:tc>
          <w:tcPr>
            <w:tcW w:w="1146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48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太康县委巡察办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预算执行情况</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left"/>
              <w:rPr>
                <w:rFonts w:hint="default" w:ascii="Times New Roman" w:hAnsi="Times New Roman" w:eastAsia="等线" w:cs="Times New Roman"/>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left"/>
              <w:rPr>
                <w:rFonts w:hint="default" w:ascii="Times New Roman" w:hAnsi="Times New Roman" w:eastAsia="等线" w:cs="Times New Roman"/>
                <w:i w:val="0"/>
                <w:iCs w:val="0"/>
                <w:color w:val="000000"/>
                <w:sz w:val="24"/>
                <w:szCs w:val="24"/>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年初数</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全年数</w:t>
            </w:r>
          </w:p>
        </w:tc>
        <w:tc>
          <w:tcPr>
            <w:tcW w:w="2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全年执行数</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分值</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预算执行率</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48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left"/>
              <w:rPr>
                <w:rFonts w:hint="eastAsia" w:ascii="仿宋" w:hAnsi="仿宋" w:eastAsia="仿宋" w:cs="仿宋"/>
                <w:i w:val="0"/>
                <w:iCs w:val="0"/>
                <w:color w:val="000000"/>
                <w:sz w:val="24"/>
                <w:szCs w:val="24"/>
                <w:u w:val="none"/>
              </w:rPr>
            </w:pPr>
          </w:p>
        </w:tc>
        <w:tc>
          <w:tcPr>
            <w:tcW w:w="2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部门预算总额（万元）</w:t>
            </w:r>
          </w:p>
        </w:tc>
        <w:tc>
          <w:tcPr>
            <w:tcW w:w="1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326</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636</w:t>
            </w:r>
          </w:p>
        </w:tc>
        <w:tc>
          <w:tcPr>
            <w:tcW w:w="2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636</w:t>
            </w:r>
          </w:p>
        </w:tc>
        <w:tc>
          <w:tcPr>
            <w:tcW w:w="15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left"/>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3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480" w:lineRule="auto"/>
              <w:jc w:val="left"/>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财政性资金</w:t>
            </w:r>
          </w:p>
        </w:tc>
        <w:tc>
          <w:tcPr>
            <w:tcW w:w="1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326</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240" w:firstLine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636</w:t>
            </w:r>
          </w:p>
        </w:tc>
        <w:tc>
          <w:tcPr>
            <w:tcW w:w="2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636</w:t>
            </w:r>
          </w:p>
        </w:tc>
        <w:tc>
          <w:tcPr>
            <w:tcW w:w="15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其他资金</w:t>
            </w:r>
          </w:p>
        </w:tc>
        <w:tc>
          <w:tcPr>
            <w:tcW w:w="1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5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年度履职目标</w:t>
            </w:r>
          </w:p>
        </w:tc>
        <w:tc>
          <w:tcPr>
            <w:tcW w:w="591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预期目标</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目标名称</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主要内容</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w:t>
            </w:r>
            <w:r>
              <w:rPr>
                <w:rFonts w:hint="default" w:ascii="Times New Roman" w:hAnsi="Times New Roman" w:eastAsia="仿宋" w:cs="Times New Roman"/>
                <w:i w:val="0"/>
                <w:iCs w:val="0"/>
                <w:color w:val="000000"/>
                <w:kern w:val="0"/>
                <w:sz w:val="24"/>
                <w:szCs w:val="24"/>
                <w:u w:val="none"/>
                <w:lang w:val="en-US" w:eastAsia="zh-CN" w:bidi="ar"/>
              </w:rPr>
              <w:t>1:</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向县委、巡察领导小组报告工作情况，传达贯彻</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县委、巡察领导小组的决策和部署。</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统筹、协调、指导县委巡察组开展巡察工作，指导督导全县巡察工作。</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目标2</w:t>
            </w:r>
            <w:r>
              <w:rPr>
                <w:rFonts w:hint="default" w:ascii="Times New Roman" w:hAnsi="Times New Roman" w:eastAsia="仿宋" w:cs="Times New Roman"/>
                <w:i w:val="0"/>
                <w:iCs w:val="0"/>
                <w:color w:val="000000"/>
                <w:kern w:val="0"/>
                <w:sz w:val="24"/>
                <w:szCs w:val="24"/>
                <w:u w:val="none"/>
                <w:lang w:val="en-US" w:eastAsia="zh-CN" w:bidi="ar"/>
              </w:rPr>
              <w:t>:</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对县委、巡察领导小组决定的事项和巡察整改落 实情况进行督查督办，承担巡察政策研究、制度建设、服务保障等工作。</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目标3</w:t>
            </w:r>
            <w:r>
              <w:rPr>
                <w:rFonts w:hint="default" w:ascii="Times New Roman" w:hAnsi="Times New Roman" w:eastAsia="仿宋" w:cs="Times New Roman"/>
                <w:i w:val="0"/>
                <w:iCs w:val="0"/>
                <w:color w:val="000000"/>
                <w:kern w:val="0"/>
                <w:sz w:val="24"/>
                <w:szCs w:val="24"/>
                <w:u w:val="none"/>
                <w:lang w:val="en-US" w:eastAsia="zh-CN" w:bidi="ar"/>
              </w:rPr>
              <w:t>:</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配合有关部门对巡察机构工作人员进行培训、考</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核、监督和管理，完成县委交办的其他任务。</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年度主要任务</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任务名称</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主要内容</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任务完成情况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向县委汇报巡察工作</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向县委、巡察领导小组报告工作情况，传达贯彻</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县委、巡察领导小组的决策和部署。</w:t>
            </w:r>
            <w:r>
              <w:rPr>
                <w:rFonts w:hint="default" w:ascii="宋体" w:hAnsi="宋体" w:eastAsia="宋体" w:cs="宋体"/>
                <w:i w:val="0"/>
                <w:iCs w:val="0"/>
                <w:color w:val="000000"/>
                <w:kern w:val="0"/>
                <w:sz w:val="22"/>
                <w:szCs w:val="22"/>
                <w:u w:val="none"/>
                <w:lang w:val="en-US" w:eastAsia="zh-CN" w:bidi="ar"/>
              </w:rPr>
              <w:t xml:space="preserve"> </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按照县委部署开展全县巡察工作</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统筹、协调、指导县委巡察组开展巡察工作，指导督导全县巡察工作。</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对被巡视对象的事项进行巡视巡察整改落实</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对县委、巡察领导小组决定的事项和巡察整改落</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实情况进行督查督办，承担巡察政策研究、制度建设、服务保障等工</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作。</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97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对巡察机构工作人员培训、考核、监督</w:t>
            </w:r>
          </w:p>
        </w:tc>
        <w:tc>
          <w:tcPr>
            <w:tcW w:w="46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配合有关部门对巡察机构工作人员进行培训、考</w:t>
            </w:r>
            <w:r>
              <w:rPr>
                <w:rFonts w:hint="default"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核、监督和管理，完成县委交办的其他任务。</w:t>
            </w:r>
          </w:p>
        </w:tc>
        <w:tc>
          <w:tcPr>
            <w:tcW w:w="68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一级指标</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分值</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二级指标</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三级指标</w:t>
            </w:r>
          </w:p>
        </w:tc>
        <w:tc>
          <w:tcPr>
            <w:tcW w:w="1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指标值</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指标说明及评分要点</w:t>
            </w:r>
          </w:p>
        </w:tc>
        <w:tc>
          <w:tcPr>
            <w:tcW w:w="2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实际完成值</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分值</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w:t>
            </w:r>
          </w:p>
        </w:tc>
        <w:tc>
          <w:tcPr>
            <w:tcW w:w="139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未完成原因分析及改进措施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投入管理指标</w:t>
            </w:r>
          </w:p>
        </w:tc>
        <w:tc>
          <w:tcPr>
            <w:tcW w:w="13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30</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工作目标管理</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年度履职目标相关性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1.年度履职目标是否符合国家、省、市、县委、县政府战略部署和发展规划，与国家、省、市、县宏观政策、行政政策一致；</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2.年度履职目标是否与部门职责、工作规划和重点工作相关；</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3.确定的预算项目是否合理，是否与工作目标密切相关；</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4.工作任务和项目预算安排是否合理。</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每符合1项得0.5分。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相关</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工作任务科学性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1.工作任务是否有明确的绩效目标，绩效目标是否与部门年度履职目标一致，是否能体现工作任务的产出和效果；</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2.工作任务对应的预算项目是否有明确的绩效目标，绩效目标是否与部门职责目标、工作任务目标一致，是否能体现预算项目的产出和效果。</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每符合1项得1分。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绩效指标合理性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1.工作任务、预算项目绩效指标设置是否准确反映部门绩效完成情况；</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2.工作任务、预算项目绩效指标是否清晰、细化、可评价、可衡量；</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3.工作任务预算项目绩效指标的评价标准是否清晰、可衡量；</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4.是否与部门年度的任务数或计划数相对应。</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每符合1项得0.5分。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合理</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预算和财务管理</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预算编制完整性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完整</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1.部门所有收入是否全部纳入部门预算；</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2.部门支出预算是否统筹各类资金来源，全部纳入部门预算管理。</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每符合1项得1分。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完整</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专项资金细化率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&gt;90%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专项资金细化率=（已细化到具体乡镇和承担单位的资金数/部门参与分配资金总数）×100%</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得分=专项资金细化率×2分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90%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预算调整率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6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预算调整率=（预算调整数/年初预算数）×100%</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预算调整数：部门（单位）在本年度内涉及预算的追加、追减或结构调整的资金总和（因落实国家政策、发生不可抗力、上级部门或本级党委政府临时交办而产生的调整除外）。</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预算调整率≤</w:t>
            </w:r>
            <w:r>
              <w:rPr>
                <w:rFonts w:hint="eastAsia" w:ascii="仿宋" w:hAnsi="仿宋" w:eastAsia="仿宋" w:cs="仿宋"/>
                <w:i w:val="0"/>
                <w:iCs w:val="0"/>
                <w:color w:val="FF0000"/>
                <w:kern w:val="0"/>
                <w:sz w:val="24"/>
                <w:szCs w:val="24"/>
                <w:u w:val="none"/>
                <w:lang w:val="en-US" w:eastAsia="zh-CN" w:bidi="ar"/>
              </w:rPr>
              <w:t>XX</w:t>
            </w:r>
            <w:r>
              <w:rPr>
                <w:rFonts w:hint="eastAsia" w:ascii="仿宋" w:hAnsi="仿宋" w:eastAsia="仿宋" w:cs="仿宋"/>
                <w:i w:val="0"/>
                <w:iCs w:val="0"/>
                <w:color w:val="000000"/>
                <w:kern w:val="0"/>
                <w:sz w:val="24"/>
                <w:szCs w:val="24"/>
                <w:u w:val="none"/>
                <w:lang w:val="en-US" w:eastAsia="zh-CN" w:bidi="ar"/>
              </w:rPr>
              <w:t>%得满分，否则每超过1%扣0.2分。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结转结余率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结转结余率=结转结余总额/预算数×100%。结转结余总额是指部门本年度的结转结余资金之和。预算数是指财政部门批复的本年度部门的（调整）预算数。</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结转结余率≤</w:t>
            </w:r>
            <w:r>
              <w:rPr>
                <w:rFonts w:hint="eastAsia" w:ascii="仿宋" w:hAnsi="仿宋" w:eastAsia="仿宋" w:cs="仿宋"/>
                <w:i w:val="0"/>
                <w:iCs w:val="0"/>
                <w:color w:val="FF0000"/>
                <w:kern w:val="0"/>
                <w:sz w:val="24"/>
                <w:szCs w:val="24"/>
                <w:u w:val="none"/>
                <w:lang w:val="en-US" w:eastAsia="zh-CN" w:bidi="ar"/>
              </w:rPr>
              <w:t>XX</w:t>
            </w:r>
            <w:r>
              <w:rPr>
                <w:rFonts w:hint="eastAsia" w:ascii="仿宋" w:hAnsi="仿宋" w:eastAsia="仿宋" w:cs="仿宋"/>
                <w:i w:val="0"/>
                <w:iCs w:val="0"/>
                <w:color w:val="000000"/>
                <w:kern w:val="0"/>
                <w:sz w:val="24"/>
                <w:szCs w:val="24"/>
                <w:u w:val="none"/>
                <w:lang w:val="en-US" w:eastAsia="zh-CN" w:bidi="ar"/>
              </w:rPr>
              <w:t>%得满分，否则每超过1%扣0.1分。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三公经费</w:t>
            </w:r>
            <w:r>
              <w:rPr>
                <w:rFonts w:hint="default" w:ascii="Times New Roman" w:hAnsi="Times New Roman" w:eastAsia="等线" w:cs="Times New Roman"/>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控制率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“三公经费”控制率=本年度“三公经费”实际支出数/“三公经费”预算数×100%</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“三公经费”控制率≤</w:t>
            </w:r>
            <w:r>
              <w:rPr>
                <w:rFonts w:hint="eastAsia" w:ascii="仿宋" w:hAnsi="仿宋" w:eastAsia="仿宋" w:cs="仿宋"/>
                <w:i w:val="0"/>
                <w:iCs w:val="0"/>
                <w:color w:val="FF0000"/>
                <w:kern w:val="0"/>
                <w:sz w:val="24"/>
                <w:szCs w:val="24"/>
                <w:u w:val="none"/>
                <w:lang w:val="en-US" w:eastAsia="zh-CN" w:bidi="ar"/>
              </w:rPr>
              <w:t>XX</w:t>
            </w:r>
            <w:r>
              <w:rPr>
                <w:rFonts w:hint="eastAsia" w:ascii="仿宋" w:hAnsi="仿宋" w:eastAsia="仿宋" w:cs="仿宋"/>
                <w:i w:val="0"/>
                <w:iCs w:val="0"/>
                <w:color w:val="000000"/>
                <w:kern w:val="0"/>
                <w:sz w:val="24"/>
                <w:szCs w:val="24"/>
                <w:u w:val="none"/>
                <w:lang w:val="en-US" w:eastAsia="zh-CN" w:bidi="ar"/>
              </w:rPr>
              <w:t>%得满分，否则不得分。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95%</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政府采购执行率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&gt;100%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政府采购执行率=（实际政府采购金额/政府采购预算数）×100%。政府采购预算：采购机关根据事业发展计划和行政任务编制的、并经过规定程序批准的年度政府采购计划。</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得分=政府采购执行率×1分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决算真实性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真实</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反映本部门决算工作情况。决算编制数据是否账表一致，即决算报表数据与会计账簿数据是否一致。</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符合本指标要求得满分，否则不得分。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真实</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资金使用合规性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合规</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是否按照相关法律以及资金管理办法规定的用途使用预算资金，用以反映和考核部门（单位）预算资金的规范运行情况。1.是否符合国家财经法规和财务法规和财务管理制度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每符合1项得0.25分。如不符合6、7、8不得分。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合规</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管理制度健全性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健全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每符合1项得0.5分。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健全</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预决算信息公幵性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公开</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每符合1项得0.5分。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公开</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资产管理规范性</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规范</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每符合1项得0.25分。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规范</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绩效管理</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绩效监控完成率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both"/>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部门（单位）按要求实施绩效监控的项目数量占应实施绩效监控项目总数和比重。部门绩效监控完成率=已完成绩效监控项目数量/部门项目总数×100%。</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得分等于分值×绩效监控完成率。</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绩效自评完成率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部门（单位）按要求实施绩效自评的项目数量占应实施绩效自评项目总数的比重。部门绩效自评完成率=已完成自评项目数量/部门项目总数×100%。</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得分等于分值×绩效自评完成率。</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部门绩效评价完成率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部门重点绩效评价项目评价完成情况。部门绩效评价完成率=已完成评价项目数量/部门重点绩效评价项目数×100%。</w:t>
            </w:r>
          </w:p>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得分等于分值×部门绩效评价完成率。</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评价结果应用率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绩效监控、单位自评、部门绩效评价、财政重点绩效评价结果应用情况。评价结果应用率=评价提出的意见建议采纳数/提出的意见建议总数/×100%。</w:t>
            </w:r>
          </w:p>
          <w:p>
            <w:pPr>
              <w:keepNext w:val="0"/>
              <w:keepLines w:val="0"/>
              <w:widowControl/>
              <w:suppressLineNumbers w:val="0"/>
              <w:spacing w:line="24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得分等于分值×评价结果应用率。</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产出指标</w:t>
            </w:r>
          </w:p>
        </w:tc>
        <w:tc>
          <w:tcPr>
            <w:tcW w:w="13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25</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重点工作任务完成</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向县委汇报巡察工作</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向县委、巡察领导小组报告工作情况，传达贯彻 县委、巡察领导小组的决策和部署。 完成得4分。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按照县委部署开展全县巡察工作</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统筹、协调、指导县委巡察组开展巡察工作，指导督导全县巡察工作。 完成得4分。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对被巡视对象的事项进行巡视巡察整改落实</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对县委、巡察领导小组决定的事项和巡察整改落 实情况进行督查督办，承担巡察政策研究、制度建设、服务保障等工作。完成得4分。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对巡察机构工作人员培训、考核、监督</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配合有关部门对巡察机构工作人员进行培训、考核、监督和管理，完成县委交办的其他任务。完成得4分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履职目标实现</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年度工作目标</w:t>
            </w:r>
            <w:r>
              <w:rPr>
                <w:rFonts w:hint="default" w:ascii="Times New Roman" w:hAnsi="Times New Roman" w:eastAsia="仿宋" w:cs="Times New Roman"/>
                <w:i w:val="0"/>
                <w:iCs w:val="0"/>
                <w:color w:val="000000"/>
                <w:kern w:val="0"/>
                <w:sz w:val="24"/>
                <w:szCs w:val="24"/>
                <w:u w:val="none"/>
                <w:lang w:val="en-US" w:eastAsia="zh-CN" w:bidi="ar"/>
              </w:rPr>
              <w:t>1</w:t>
            </w:r>
            <w:r>
              <w:rPr>
                <w:rFonts w:hint="eastAsia" w:ascii="仿宋" w:hAnsi="仿宋" w:eastAsia="仿宋" w:cs="仿宋"/>
                <w:i w:val="0"/>
                <w:iCs w:val="0"/>
                <w:color w:val="000000"/>
                <w:kern w:val="0"/>
                <w:sz w:val="24"/>
                <w:szCs w:val="24"/>
                <w:u w:val="none"/>
                <w:lang w:val="en-US" w:eastAsia="zh-CN" w:bidi="ar"/>
              </w:rPr>
              <w:t>实现率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向县委、巡察领导小组报告工作情况，传达贯彻 县委、巡察领导小组的决策和部署。 统筹、协调、指导县委巡察组开展巡察工作，指导督导全县巡察工作。完成得3分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年度工作目标</w:t>
            </w:r>
            <w:r>
              <w:rPr>
                <w:rFonts w:hint="default" w:ascii="Times New Roman" w:hAnsi="Times New Roman" w:eastAsia="仿宋" w:cs="Times New Roman"/>
                <w:i w:val="0"/>
                <w:iCs w:val="0"/>
                <w:color w:val="000000"/>
                <w:kern w:val="0"/>
                <w:sz w:val="24"/>
                <w:szCs w:val="24"/>
                <w:u w:val="none"/>
                <w:lang w:val="en-US" w:eastAsia="zh-CN" w:bidi="ar"/>
              </w:rPr>
              <w:t>2</w:t>
            </w:r>
            <w:r>
              <w:rPr>
                <w:rFonts w:hint="eastAsia" w:ascii="仿宋" w:hAnsi="仿宋" w:eastAsia="仿宋" w:cs="仿宋"/>
                <w:i w:val="0"/>
                <w:iCs w:val="0"/>
                <w:color w:val="000000"/>
                <w:kern w:val="0"/>
                <w:sz w:val="24"/>
                <w:szCs w:val="24"/>
                <w:u w:val="none"/>
                <w:lang w:val="en-US" w:eastAsia="zh-CN" w:bidi="ar"/>
              </w:rPr>
              <w:t>实现率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对县委、巡察领导小组决定的事项和巡察整改落 实情况进行督查督办，承担巡察政策研究、制度建设、服务保障等工作。完成得3分。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年度工作目标3实现率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配合有关部门对巡察机构工作人员进行培训、考 核、监督和管理，完成县委交办的其他任务。完成得3分</w:t>
            </w:r>
          </w:p>
        </w:tc>
        <w:tc>
          <w:tcPr>
            <w:tcW w:w="2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效益指标</w:t>
            </w:r>
          </w:p>
        </w:tc>
        <w:tc>
          <w:tcPr>
            <w:tcW w:w="13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35</w:t>
            </w: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履职社会效益</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对办公环境和办公条件的改善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改善</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改善</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履职生态效益</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可持续发展影响</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仿宋" w:hAnsi="仿宋" w:eastAsia="仿宋" w:cs="仿宋"/>
                <w:i w:val="0"/>
                <w:iCs w:val="0"/>
                <w:color w:val="000000"/>
                <w:sz w:val="24"/>
                <w:szCs w:val="24"/>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满意度</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被巡视巡察对象投诉率</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cs="仿宋"/>
                <w:i w:val="0"/>
                <w:iCs w:val="0"/>
                <w:color w:val="000000"/>
                <w:kern w:val="0"/>
                <w:sz w:val="24"/>
                <w:szCs w:val="24"/>
                <w:u w:val="none"/>
                <w:lang w:val="en-US" w:eastAsia="zh-CN" w:bidi="ar"/>
              </w:rPr>
              <w:t>=</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全年投诉次数0次。</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imes New Roman" w:hAnsi="Times New Roman" w:eastAsia="等线" w:cs="Times New Roman"/>
                <w:i w:val="0"/>
                <w:iCs w:val="0"/>
                <w:color w:val="000000"/>
                <w:sz w:val="24"/>
                <w:szCs w:val="24"/>
                <w:u w:val="none"/>
                <w:lang w:val="en-US" w:eastAsia="zh-CN"/>
              </w:rPr>
            </w:pPr>
            <w:r>
              <w:rPr>
                <w:rFonts w:hint="eastAsia" w:eastAsia="等线" w:cs="Times New Roman"/>
                <w:i w:val="0"/>
                <w:iCs w:val="0"/>
                <w:color w:val="000000"/>
                <w:kern w:val="0"/>
                <w:sz w:val="24"/>
                <w:szCs w:val="24"/>
                <w:u w:val="none"/>
                <w:lang w:val="en-US" w:eastAsia="zh-CN" w:bidi="ar"/>
              </w:rPr>
              <w:t>0次</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 w:hAnsi="仿宋" w:eastAsia="仿宋" w:cs="仿宋"/>
                <w:i w:val="0"/>
                <w:iCs w:val="0"/>
                <w:color w:val="000000"/>
                <w:sz w:val="24"/>
                <w:szCs w:val="24"/>
                <w:u w:val="none"/>
              </w:rPr>
            </w:pPr>
          </w:p>
        </w:tc>
        <w:tc>
          <w:tcPr>
            <w:tcW w:w="1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spacing w:line="240" w:lineRule="auto"/>
              <w:jc w:val="center"/>
              <w:rPr>
                <w:rFonts w:hint="eastAsia" w:ascii="仿宋" w:hAnsi="仿宋" w:eastAsia="仿宋" w:cs="仿宋"/>
                <w:i w:val="0"/>
                <w:iCs w:val="0"/>
                <w:color w:val="000000"/>
                <w:sz w:val="24"/>
                <w:szCs w:val="24"/>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服务对象满意度</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r>
              <w:rPr>
                <w:rFonts w:hint="default" w:ascii="Times New Roman" w:hAnsi="Times New Roman" w:eastAsia="仿宋" w:cs="Times New Roman"/>
                <w:i w:val="0"/>
                <w:iCs w:val="0"/>
                <w:color w:val="000000"/>
                <w:kern w:val="0"/>
                <w:sz w:val="24"/>
                <w:szCs w:val="24"/>
                <w:u w:val="none"/>
                <w:lang w:val="en-US" w:eastAsia="zh-CN" w:bidi="ar"/>
              </w:rPr>
              <w:t>95%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95.00%</w:t>
            </w: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6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 w:hAnsi="仿宋" w:eastAsia="仿宋" w:cs="仿宋"/>
                <w:i w:val="0"/>
                <w:iCs w:val="0"/>
                <w:color w:val="000000"/>
                <w:sz w:val="24"/>
                <w:szCs w:val="24"/>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等线" w:cs="Times New Roman"/>
                <w:i w:val="0"/>
                <w:iCs w:val="0"/>
                <w:color w:val="000000"/>
                <w:sz w:val="24"/>
                <w:szCs w:val="24"/>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100</w:t>
            </w:r>
          </w:p>
        </w:tc>
        <w:tc>
          <w:tcPr>
            <w:tcW w:w="1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98</w:t>
            </w:r>
          </w:p>
        </w:tc>
        <w:tc>
          <w:tcPr>
            <w:tcW w:w="1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default" w:ascii="Times New Roman" w:hAnsi="Times New Roman" w:eastAsia="等线"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14740"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注：</w:t>
            </w:r>
            <w:r>
              <w:rPr>
                <w:rFonts w:hint="default" w:ascii="Times New Roman" w:hAnsi="Times New Roman" w:eastAsia="仿宋" w:cs="Times New Roman"/>
                <w:i w:val="0"/>
                <w:iCs w:val="0"/>
                <w:color w:val="000000"/>
                <w:kern w:val="0"/>
                <w:sz w:val="24"/>
                <w:szCs w:val="24"/>
                <w:u w:val="none"/>
                <w:lang w:val="en-US" w:eastAsia="zh-CN" w:bidi="ar"/>
              </w:rPr>
              <w:t>1.</w:t>
            </w:r>
            <w:r>
              <w:rPr>
                <w:rFonts w:hint="eastAsia" w:ascii="仿宋" w:hAnsi="仿宋" w:eastAsia="仿宋" w:cs="仿宋"/>
                <w:i w:val="0"/>
                <w:iCs w:val="0"/>
                <w:color w:val="000000"/>
                <w:kern w:val="0"/>
                <w:sz w:val="24"/>
                <w:szCs w:val="24"/>
                <w:u w:val="none"/>
                <w:lang w:val="en-US" w:eastAsia="zh-CN" w:bidi="ar"/>
              </w:rPr>
              <w:t>自评采取打分评价的形式，满分为</w:t>
            </w:r>
            <w:r>
              <w:rPr>
                <w:rFonts w:hint="default" w:ascii="Times New Roman" w:hAnsi="Times New Roman" w:eastAsia="仿宋" w:cs="Times New Roman"/>
                <w:i w:val="0"/>
                <w:iCs w:val="0"/>
                <w:color w:val="000000"/>
                <w:kern w:val="0"/>
                <w:sz w:val="24"/>
                <w:szCs w:val="24"/>
                <w:u w:val="none"/>
                <w:lang w:val="en-US" w:eastAsia="zh-CN" w:bidi="ar"/>
              </w:rPr>
              <w:t>100</w:t>
            </w:r>
            <w:r>
              <w:rPr>
                <w:rFonts w:hint="eastAsia" w:ascii="仿宋" w:hAnsi="仿宋" w:eastAsia="仿宋" w:cs="仿宋"/>
                <w:i w:val="0"/>
                <w:iCs w:val="0"/>
                <w:color w:val="000000"/>
                <w:kern w:val="0"/>
                <w:sz w:val="24"/>
                <w:szCs w:val="24"/>
                <w:u w:val="none"/>
                <w:lang w:val="en-US" w:eastAsia="zh-CN" w:bidi="ar"/>
              </w:rPr>
              <w:t>分，各部门（单位）可根据指标的重要程度自主确定各项三级指标的权重分值，各项指标得分加总得出该项 目绩效自评的总分</w:t>
            </w:r>
            <w:r>
              <w:rPr>
                <w:rFonts w:hint="default" w:ascii="Times New Roman" w:hAnsi="Times New Roman" w:eastAsia="仿宋" w:cs="Times New Roman"/>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原则上一级指标分值统一设</w:t>
            </w:r>
            <w:r>
              <w:rPr>
                <w:rFonts w:hint="default" w:ascii="Times New Roman" w:hAnsi="Times New Roman" w:eastAsia="仿宋" w:cs="Times New Roman"/>
                <w:i w:val="0"/>
                <w:iCs w:val="0"/>
                <w:color w:val="000000"/>
                <w:kern w:val="0"/>
                <w:sz w:val="24"/>
                <w:szCs w:val="24"/>
                <w:u w:val="none"/>
                <w:lang w:val="en-US" w:eastAsia="zh-CN" w:bidi="ar"/>
              </w:rPr>
              <w:t>a</w:t>
            </w:r>
            <w:r>
              <w:rPr>
                <w:rFonts w:hint="eastAsia" w:ascii="仿宋" w:hAnsi="仿宋" w:eastAsia="仿宋" w:cs="仿宋"/>
                <w:i w:val="0"/>
                <w:iCs w:val="0"/>
                <w:color w:val="000000"/>
                <w:kern w:val="0"/>
                <w:sz w:val="24"/>
                <w:szCs w:val="24"/>
                <w:u w:val="none"/>
                <w:lang w:val="en-US" w:eastAsia="zh-CN" w:bidi="ar"/>
              </w:rPr>
              <w:t>为：投入管理指标</w:t>
            </w:r>
            <w:r>
              <w:rPr>
                <w:rFonts w:hint="default" w:ascii="Times New Roman" w:hAnsi="Times New Roman" w:eastAsia="仿宋" w:cs="Times New Roman"/>
                <w:i w:val="0"/>
                <w:iCs w:val="0"/>
                <w:color w:val="000000"/>
                <w:kern w:val="0"/>
                <w:sz w:val="24"/>
                <w:szCs w:val="24"/>
                <w:u w:val="none"/>
                <w:lang w:val="en-US" w:eastAsia="zh-CN" w:bidi="ar"/>
              </w:rPr>
              <w:t>30</w:t>
            </w:r>
            <w:r>
              <w:rPr>
                <w:rFonts w:hint="eastAsia" w:ascii="仿宋" w:hAnsi="仿宋" w:eastAsia="仿宋" w:cs="仿宋"/>
                <w:i w:val="0"/>
                <w:iCs w:val="0"/>
                <w:color w:val="000000"/>
                <w:kern w:val="0"/>
                <w:sz w:val="24"/>
                <w:szCs w:val="24"/>
                <w:u w:val="none"/>
                <w:lang w:val="en-US" w:eastAsia="zh-CN" w:bidi="ar"/>
              </w:rPr>
              <w:t>分、产出指标</w:t>
            </w:r>
            <w:r>
              <w:rPr>
                <w:rFonts w:hint="default" w:ascii="Times New Roman" w:hAnsi="Times New Roman" w:eastAsia="仿宋" w:cs="Times New Roman"/>
                <w:i w:val="0"/>
                <w:iCs w:val="0"/>
                <w:color w:val="000000"/>
                <w:kern w:val="0"/>
                <w:sz w:val="24"/>
                <w:szCs w:val="24"/>
                <w:u w:val="none"/>
                <w:lang w:val="en-US" w:eastAsia="zh-CN" w:bidi="ar"/>
              </w:rPr>
              <w:t>25</w:t>
            </w:r>
            <w:r>
              <w:rPr>
                <w:rFonts w:hint="eastAsia" w:ascii="仿宋" w:hAnsi="仿宋" w:eastAsia="仿宋" w:cs="仿宋"/>
                <w:i w:val="0"/>
                <w:iCs w:val="0"/>
                <w:color w:val="000000"/>
                <w:kern w:val="0"/>
                <w:sz w:val="24"/>
                <w:szCs w:val="24"/>
                <w:u w:val="none"/>
                <w:lang w:val="en-US" w:eastAsia="zh-CN" w:bidi="ar"/>
              </w:rPr>
              <w:t>分、效益指标</w:t>
            </w:r>
            <w:r>
              <w:rPr>
                <w:rFonts w:hint="default" w:ascii="Times New Roman" w:hAnsi="Times New Roman" w:eastAsia="仿宋" w:cs="Times New Roman"/>
                <w:i w:val="0"/>
                <w:iCs w:val="0"/>
                <w:color w:val="000000"/>
                <w:kern w:val="0"/>
                <w:sz w:val="24"/>
                <w:szCs w:val="24"/>
                <w:u w:val="none"/>
                <w:lang w:val="en-US" w:eastAsia="zh-CN" w:bidi="ar"/>
              </w:rPr>
              <w:t>35</w:t>
            </w:r>
            <w:r>
              <w:rPr>
                <w:rFonts w:hint="eastAsia" w:ascii="仿宋" w:hAnsi="仿宋" w:eastAsia="仿宋" w:cs="仿宋"/>
                <w:i w:val="0"/>
                <w:iCs w:val="0"/>
                <w:color w:val="000000"/>
                <w:kern w:val="0"/>
                <w:sz w:val="24"/>
                <w:szCs w:val="24"/>
                <w:u w:val="none"/>
                <w:lang w:val="en-US" w:eastAsia="zh-CN" w:bidi="ar"/>
              </w:rPr>
              <w:t>分、预算执行率</w:t>
            </w:r>
            <w:r>
              <w:rPr>
                <w:rFonts w:hint="default" w:ascii="Times New Roman" w:hAnsi="Times New Roman" w:eastAsia="仿宋" w:cs="Times New Roman"/>
                <w:i w:val="0"/>
                <w:iCs w:val="0"/>
                <w:color w:val="000000"/>
                <w:kern w:val="0"/>
                <w:sz w:val="24"/>
                <w:szCs w:val="24"/>
                <w:u w:val="none"/>
                <w:lang w:val="en-US" w:eastAsia="zh-CN" w:bidi="ar"/>
              </w:rPr>
              <w:t>10</w:t>
            </w:r>
            <w:r>
              <w:rPr>
                <w:rFonts w:hint="eastAsia" w:ascii="仿宋" w:hAnsi="仿宋" w:eastAsia="仿宋" w:cs="仿宋"/>
                <w:i w:val="0"/>
                <w:iCs w:val="0"/>
                <w:color w:val="000000"/>
                <w:kern w:val="0"/>
                <w:sz w:val="24"/>
                <w:szCs w:val="24"/>
                <w:u w:val="none"/>
                <w:lang w:val="en-US" w:eastAsia="zh-CN" w:bidi="ar"/>
              </w:rPr>
              <w:t>分</w:t>
            </w:r>
            <w:r>
              <w:rPr>
                <w:rFonts w:hint="default" w:ascii="Times New Roman" w:hAnsi="Times New Roman" w:eastAsia="仿宋" w:cs="Times New Roman"/>
                <w:i w:val="0"/>
                <w:iCs w:val="0"/>
                <w:color w:val="000000"/>
                <w:kern w:val="0"/>
                <w:sz w:val="24"/>
                <w:szCs w:val="24"/>
                <w:u w:val="none"/>
                <w:lang w:val="en-US" w:eastAsia="zh-CN" w:bidi="ar"/>
              </w:rPr>
              <w:t>.2.</w:t>
            </w:r>
            <w:r>
              <w:rPr>
                <w:rFonts w:hint="eastAsia" w:ascii="仿宋" w:hAnsi="仿宋" w:eastAsia="仿宋" w:cs="仿宋"/>
                <w:i w:val="0"/>
                <w:iCs w:val="0"/>
                <w:color w:val="000000"/>
                <w:kern w:val="0"/>
                <w:sz w:val="24"/>
                <w:szCs w:val="24"/>
                <w:u w:val="none"/>
                <w:lang w:val="en-US" w:eastAsia="zh-CN" w:bidi="ar"/>
              </w:rPr>
              <w:t>未完成原因分析及改进 措施：说明偏离目标、不能完成目标的原因及改进措施</w:t>
            </w:r>
            <w:r>
              <w:rPr>
                <w:rFonts w:hint="default" w:ascii="Times New Roman" w:hAnsi="Times New Roman" w:eastAsia="仿宋" w:cs="Times New Roman"/>
                <w:i w:val="0"/>
                <w:iCs w:val="0"/>
                <w:color w:val="000000"/>
                <w:kern w:val="0"/>
                <w:sz w:val="24"/>
                <w:szCs w:val="24"/>
                <w:u w:val="none"/>
                <w:lang w:val="en-US" w:eastAsia="zh-CN" w:bidi="ar"/>
              </w:rPr>
              <w:t>.3.</w:t>
            </w:r>
            <w:r>
              <w:rPr>
                <w:rFonts w:hint="eastAsia" w:ascii="仿宋" w:hAnsi="仿宋" w:eastAsia="仿宋" w:cs="仿宋"/>
                <w:i w:val="0"/>
                <w:iCs w:val="0"/>
                <w:color w:val="000000"/>
                <w:kern w:val="0"/>
                <w:sz w:val="24"/>
                <w:szCs w:val="24"/>
                <w:u w:val="none"/>
                <w:lang w:val="en-US" w:eastAsia="zh-CN" w:bidi="ar"/>
              </w:rPr>
              <w:t>定性指标根据指标完成情况分为达成预期指标、部分达成预期指标并具有一定效果、未达成 预期指标且效果较差三档，分别按照该指标对应分值区间</w:t>
            </w:r>
            <w:r>
              <w:rPr>
                <w:rFonts w:hint="default" w:ascii="Times New Roman" w:hAnsi="Times New Roman" w:eastAsia="仿宋" w:cs="Times New Roman"/>
                <w:i w:val="0"/>
                <w:iCs w:val="0"/>
                <w:color w:val="000000"/>
                <w:kern w:val="0"/>
                <w:sz w:val="24"/>
                <w:szCs w:val="24"/>
                <w:u w:val="none"/>
                <w:lang w:val="en-US" w:eastAsia="zh-CN" w:bidi="ar"/>
              </w:rPr>
              <w:t>100%-80% (</w:t>
            </w:r>
            <w:r>
              <w:rPr>
                <w:rFonts w:hint="eastAsia" w:ascii="仿宋" w:hAnsi="仿宋" w:eastAsia="仿宋" w:cs="仿宋"/>
                <w:i w:val="0"/>
                <w:iCs w:val="0"/>
                <w:color w:val="000000"/>
                <w:kern w:val="0"/>
                <w:sz w:val="24"/>
                <w:szCs w:val="24"/>
                <w:u w:val="none"/>
                <w:lang w:val="en-US" w:eastAsia="zh-CN" w:bidi="ar"/>
              </w:rPr>
              <w:t>含</w:t>
            </w:r>
            <w:r>
              <w:rPr>
                <w:rFonts w:hint="default" w:ascii="Times New Roman" w:hAnsi="Times New Roman" w:eastAsia="仿宋" w:cs="Times New Roman"/>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w:t>
            </w:r>
            <w:r>
              <w:rPr>
                <w:rFonts w:hint="default" w:ascii="Times New Roman" w:hAnsi="Times New Roman" w:eastAsia="仿宋" w:cs="Times New Roman"/>
                <w:i w:val="0"/>
                <w:iCs w:val="0"/>
                <w:color w:val="000000"/>
                <w:kern w:val="0"/>
                <w:sz w:val="24"/>
                <w:szCs w:val="24"/>
                <w:u w:val="none"/>
                <w:lang w:val="en-US" w:eastAsia="zh-CN" w:bidi="ar"/>
              </w:rPr>
              <w:t>80%-60% (</w:t>
            </w:r>
            <w:r>
              <w:rPr>
                <w:rFonts w:hint="eastAsia" w:ascii="仿宋" w:hAnsi="仿宋" w:eastAsia="仿宋" w:cs="仿宋"/>
                <w:i w:val="0"/>
                <w:iCs w:val="0"/>
                <w:color w:val="000000"/>
                <w:kern w:val="0"/>
                <w:sz w:val="24"/>
                <w:szCs w:val="24"/>
                <w:u w:val="none"/>
                <w:lang w:val="en-US" w:eastAsia="zh-CN" w:bidi="ar"/>
              </w:rPr>
              <w:t>含）、</w:t>
            </w:r>
            <w:r>
              <w:rPr>
                <w:rFonts w:hint="default" w:ascii="Times New Roman" w:hAnsi="Times New Roman" w:eastAsia="仿宋" w:cs="Times New Roman"/>
                <w:i w:val="0"/>
                <w:iCs w:val="0"/>
                <w:color w:val="000000"/>
                <w:kern w:val="0"/>
                <w:sz w:val="24"/>
                <w:szCs w:val="24"/>
                <w:u w:val="none"/>
                <w:lang w:val="en-US" w:eastAsia="zh-CN" w:bidi="ar"/>
              </w:rPr>
              <w:t>60%-0%</w:t>
            </w:r>
            <w:r>
              <w:rPr>
                <w:rFonts w:hint="eastAsia" w:ascii="仿宋" w:hAnsi="仿宋" w:eastAsia="仿宋" w:cs="仿宋"/>
                <w:i w:val="0"/>
                <w:iCs w:val="0"/>
                <w:color w:val="000000"/>
                <w:kern w:val="0"/>
                <w:sz w:val="24"/>
                <w:szCs w:val="24"/>
                <w:u w:val="none"/>
                <w:lang w:val="en-US" w:eastAsia="zh-CN" w:bidi="ar"/>
              </w:rPr>
              <w:t>合理确定分值</w:t>
            </w:r>
            <w:r>
              <w:rPr>
                <w:rFonts w:hint="default" w:ascii="Times New Roman" w:hAnsi="Times New Roman" w:eastAsia="仿宋" w:cs="Times New Roman"/>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定量指标完成指标值的，记该指标所赋全部分值，未完成的，按照完成值与指标值的比例计分</w:t>
            </w:r>
            <w:r>
              <w:rPr>
                <w:rFonts w:hint="default" w:ascii="Times New Roman" w:hAnsi="Times New Roman" w:eastAsia="仿宋" w:cs="Times New Roman"/>
                <w:i w:val="0"/>
                <w:iCs w:val="0"/>
                <w:color w:val="000000"/>
                <w:kern w:val="0"/>
                <w:sz w:val="24"/>
                <w:szCs w:val="24"/>
                <w:u w:val="none"/>
                <w:lang w:val="en-US" w:eastAsia="zh-CN" w:bidi="ar"/>
              </w:rPr>
              <w:t>.</w:t>
            </w:r>
          </w:p>
        </w:tc>
      </w:tr>
    </w:tbl>
    <w:p>
      <w:pPr>
        <w:pStyle w:val="22"/>
        <w:keepNext w:val="0"/>
        <w:keepLines w:val="0"/>
        <w:pageBreakBefore w:val="0"/>
        <w:kinsoku/>
        <w:wordWrap/>
        <w:overflowPunct/>
        <w:topLinePunct w:val="0"/>
        <w:autoSpaceDE/>
        <w:autoSpaceDN/>
        <w:bidi w:val="0"/>
        <w:jc w:val="center"/>
        <w:rPr>
          <w:rFonts w:hint="eastAsia" w:eastAsia="仿宋"/>
          <w:lang w:eastAsia="zh-CN"/>
        </w:rPr>
      </w:pPr>
    </w:p>
    <w:sectPr>
      <w:pgSz w:w="16838" w:h="11906" w:orient="landscape"/>
      <w:pgMar w:top="1797" w:right="1440" w:bottom="1797" w:left="760" w:header="851" w:footer="992" w:gutter="0"/>
      <w:pgBorders w:offsetFrom="page">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WYxNTgyYWI0YzQ2ZDUxOGE2MDNmMWRjMzRjNzk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2394E71"/>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6E52EB3"/>
    <w:rsid w:val="274970C1"/>
    <w:rsid w:val="28382B82"/>
    <w:rsid w:val="288C42DB"/>
    <w:rsid w:val="29822C8E"/>
    <w:rsid w:val="2B147896"/>
    <w:rsid w:val="2B25139B"/>
    <w:rsid w:val="2CF66F3B"/>
    <w:rsid w:val="2E3B1D53"/>
    <w:rsid w:val="2FE87747"/>
    <w:rsid w:val="3088385B"/>
    <w:rsid w:val="30B9326C"/>
    <w:rsid w:val="3184492D"/>
    <w:rsid w:val="3229411A"/>
    <w:rsid w:val="335509C7"/>
    <w:rsid w:val="3384464E"/>
    <w:rsid w:val="34E71A35"/>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3F7E77"/>
    <w:rsid w:val="532C3269"/>
    <w:rsid w:val="54087C43"/>
    <w:rsid w:val="54151AB3"/>
    <w:rsid w:val="547C2982"/>
    <w:rsid w:val="553D7376"/>
    <w:rsid w:val="555D2ECF"/>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B61E87"/>
    <w:rsid w:val="61BF196A"/>
    <w:rsid w:val="61F11689"/>
    <w:rsid w:val="62600656"/>
    <w:rsid w:val="62A44963"/>
    <w:rsid w:val="62EA2C49"/>
    <w:rsid w:val="631E05FA"/>
    <w:rsid w:val="63436BA2"/>
    <w:rsid w:val="65490021"/>
    <w:rsid w:val="65900A51"/>
    <w:rsid w:val="65FC37D4"/>
    <w:rsid w:val="665935D9"/>
    <w:rsid w:val="671A2AA4"/>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0"/>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Body Text Indent"/>
    <w:basedOn w:val="1"/>
    <w:qFormat/>
    <w:uiPriority w:val="99"/>
    <w:pPr>
      <w:spacing w:line="560" w:lineRule="exact"/>
      <w:ind w:firstLine="600"/>
    </w:pPr>
    <w:rPr>
      <w:rFonts w:ascii="仿宋_GB2312" w:hAnsi="仿宋_GB2312" w:eastAsia="仿宋_GB2312"/>
      <w:szCs w:val="30"/>
    </w:rPr>
  </w:style>
  <w:style w:type="paragraph" w:styleId="8">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pPr>
      <w:adjustRightInd w:val="0"/>
      <w:snapToGrid w:val="0"/>
      <w:ind w:firstLine="0" w:firstLineChars="0"/>
    </w:pPr>
  </w:style>
  <w:style w:type="paragraph" w:styleId="11">
    <w:name w:val="toc 2"/>
    <w:basedOn w:val="1"/>
    <w:next w:val="1"/>
    <w:qFormat/>
    <w:uiPriority w:val="0"/>
    <w:pPr>
      <w:ind w:left="420" w:leftChars="200" w:firstLine="0" w:firstLineChars="0"/>
    </w:pPr>
  </w:style>
  <w:style w:type="paragraph" w:styleId="12">
    <w:name w:val="Body Text 2"/>
    <w:basedOn w:val="1"/>
    <w:qFormat/>
    <w:uiPriority w:val="0"/>
    <w:pPr>
      <w:spacing w:after="120" w:line="480" w:lineRule="auto"/>
    </w:pPr>
  </w:style>
  <w:style w:type="paragraph" w:styleId="13">
    <w:name w:val="Body Text First Indent"/>
    <w:basedOn w:val="2"/>
    <w:next w:val="14"/>
    <w:qFormat/>
    <w:uiPriority w:val="0"/>
    <w:pPr>
      <w:ind w:firstLine="420" w:firstLineChars="100"/>
    </w:pPr>
  </w:style>
  <w:style w:type="paragraph" w:styleId="14">
    <w:name w:val="Body Text First Indent 2"/>
    <w:basedOn w:val="7"/>
    <w:qFormat/>
    <w:uiPriority w:val="99"/>
    <w:pPr>
      <w:spacing w:line="240" w:lineRule="auto"/>
      <w:ind w:firstLine="0" w:firstLineChars="0"/>
    </w:pPr>
    <w:rPr>
      <w:rFonts w:ascii="Times New Roman" w:hAnsi="Times New Roman"/>
      <w:sz w:val="28"/>
      <w:szCs w:val="28"/>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表格"/>
    <w:basedOn w:val="1"/>
    <w:next w:val="1"/>
    <w:qFormat/>
    <w:uiPriority w:val="0"/>
    <w:pPr>
      <w:adjustRightInd w:val="0"/>
      <w:snapToGrid w:val="0"/>
      <w:spacing w:line="240" w:lineRule="auto"/>
      <w:ind w:firstLine="0" w:firstLineChars="0"/>
      <w:jc w:val="center"/>
    </w:pPr>
    <w:rPr>
      <w:sz w:val="24"/>
    </w:rPr>
  </w:style>
  <w:style w:type="paragraph" w:customStyle="1" w:styleId="19">
    <w:name w:val="表头"/>
    <w:basedOn w:val="1"/>
    <w:next w:val="1"/>
    <w:qFormat/>
    <w:uiPriority w:val="0"/>
    <w:pPr>
      <w:ind w:firstLine="0" w:firstLineChars="0"/>
      <w:jc w:val="center"/>
    </w:pPr>
  </w:style>
  <w:style w:type="character" w:customStyle="1" w:styleId="20">
    <w:name w:val="标题 2 字符"/>
    <w:link w:val="4"/>
    <w:qFormat/>
    <w:uiPriority w:val="9"/>
    <w:rPr>
      <w:rFonts w:ascii="楷体" w:hAnsi="楷体" w:eastAsia="楷体" w:cs="Times New Roman"/>
      <w:b/>
      <w:bCs/>
      <w:sz w:val="32"/>
      <w:szCs w:val="32"/>
    </w:rPr>
  </w:style>
  <w:style w:type="paragraph" w:customStyle="1" w:styleId="21">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2">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3">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4">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15515993457"/>
    <w:basedOn w:val="1"/>
    <w:qFormat/>
    <w:uiPriority w:val="0"/>
    <w:pPr>
      <w:adjustRightInd w:val="0"/>
      <w:snapToGrid w:val="0"/>
      <w:ind w:firstLine="964"/>
      <w:jc w:val="left"/>
    </w:pPr>
    <w:rPr>
      <w:rFonts w:hint="eastAsia" w:ascii="宋体" w:hAnsi="宋体" w:cs="Times New Roman"/>
      <w:color w:val="auto"/>
      <w:szCs w:val="32"/>
    </w:rPr>
  </w:style>
  <w:style w:type="character" w:customStyle="1" w:styleId="28">
    <w:name w:val="font11"/>
    <w:basedOn w:val="17"/>
    <w:uiPriority w:val="0"/>
    <w:rPr>
      <w:rFonts w:hint="eastAsia" w:ascii="黑体" w:hAnsi="宋体" w:eastAsia="黑体" w:cs="黑体"/>
      <w:b/>
      <w:bCs/>
      <w:color w:val="000000"/>
      <w:sz w:val="32"/>
      <w:szCs w:val="32"/>
      <w:u w:val="none"/>
    </w:rPr>
  </w:style>
  <w:style w:type="character" w:customStyle="1" w:styleId="29">
    <w:name w:val="font71"/>
    <w:basedOn w:val="17"/>
    <w:uiPriority w:val="0"/>
    <w:rPr>
      <w:rFonts w:ascii="Calibri" w:hAnsi="Calibri" w:cs="Calibri"/>
      <w:b/>
      <w:bCs/>
      <w:color w:val="000000"/>
      <w:sz w:val="32"/>
      <w:szCs w:val="32"/>
      <w:u w:val="none"/>
    </w:rPr>
  </w:style>
  <w:style w:type="character" w:customStyle="1" w:styleId="30">
    <w:name w:val="font61"/>
    <w:basedOn w:val="17"/>
    <w:uiPriority w:val="0"/>
    <w:rPr>
      <w:rFonts w:hint="eastAsia" w:ascii="仿宋" w:hAnsi="仿宋" w:eastAsia="仿宋" w:cs="仿宋"/>
      <w:color w:val="000000"/>
      <w:sz w:val="28"/>
      <w:szCs w:val="28"/>
      <w:u w:val="none"/>
    </w:rPr>
  </w:style>
  <w:style w:type="character" w:customStyle="1" w:styleId="31">
    <w:name w:val="font91"/>
    <w:basedOn w:val="17"/>
    <w:uiPriority w:val="0"/>
    <w:rPr>
      <w:rFonts w:hint="default" w:ascii="Times New Roman" w:hAnsi="Times New Roman" w:cs="Times New Roman"/>
      <w:color w:val="000000"/>
      <w:sz w:val="28"/>
      <w:szCs w:val="28"/>
      <w:u w:val="none"/>
    </w:rPr>
  </w:style>
  <w:style w:type="character" w:customStyle="1" w:styleId="32">
    <w:name w:val="font112"/>
    <w:basedOn w:val="17"/>
    <w:uiPriority w:val="0"/>
    <w:rPr>
      <w:rFonts w:hint="default" w:ascii="Times New Roman" w:hAnsi="Times New Roman" w:cs="Times New Roman"/>
      <w:color w:val="000000"/>
      <w:sz w:val="24"/>
      <w:szCs w:val="24"/>
      <w:u w:val="none"/>
    </w:rPr>
  </w:style>
  <w:style w:type="character" w:customStyle="1" w:styleId="33">
    <w:name w:val="font101"/>
    <w:basedOn w:val="17"/>
    <w:uiPriority w:val="0"/>
    <w:rPr>
      <w:rFonts w:hint="eastAsia" w:ascii="宋体" w:hAnsi="宋体" w:eastAsia="宋体" w:cs="宋体"/>
      <w:color w:val="000000"/>
      <w:sz w:val="24"/>
      <w:szCs w:val="24"/>
      <w:u w:val="none"/>
    </w:rPr>
  </w:style>
  <w:style w:type="character" w:customStyle="1" w:styleId="34">
    <w:name w:val="font131"/>
    <w:basedOn w:val="17"/>
    <w:uiPriority w:val="0"/>
    <w:rPr>
      <w:rFonts w:hint="eastAsia" w:ascii="仿宋" w:hAnsi="仿宋" w:eastAsia="仿宋" w:cs="仿宋"/>
      <w:color w:val="FF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10566</Words>
  <Characters>11195</Characters>
  <Lines>152</Lines>
  <Paragraphs>43</Paragraphs>
  <TotalTime>1</TotalTime>
  <ScaleCrop>false</ScaleCrop>
  <LinksUpToDate>false</LinksUpToDate>
  <CharactersWithSpaces>11378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通利IT人13503942055</cp:lastModifiedBy>
  <dcterms:modified xsi:type="dcterms:W3CDTF">2022-09-02T03:52:10Z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D1F8CA3FCDEC4F9A9E8C6C039A183BD6</vt:lpwstr>
  </property>
</Properties>
</file>