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ascii="宋体" w:hAnsi="宋体" w:cs="宋体"/>
          <w:sz w:val="52"/>
          <w:szCs w:val="52"/>
          <w:highlight w:val="none"/>
        </w:rPr>
      </w:pPr>
      <w:r>
        <w:rPr>
          <w:rFonts w:hint="eastAsia" w:ascii="宋体" w:hAnsi="宋体" w:cs="宋体"/>
          <w:sz w:val="52"/>
          <w:szCs w:val="52"/>
          <w:highlight w:val="none"/>
          <w:lang w:eastAsia="zh-CN"/>
        </w:rPr>
        <w:t>公用经费</w:t>
      </w:r>
      <w:r>
        <w:rPr>
          <w:rFonts w:hint="eastAsia" w:ascii="宋体" w:hAnsi="宋体" w:cs="宋体"/>
          <w:sz w:val="52"/>
          <w:szCs w:val="52"/>
          <w:highlight w:val="none"/>
        </w:rPr>
        <w:t>项目</w:t>
      </w:r>
    </w:p>
    <w:p>
      <w:pPr>
        <w:pStyle w:val="25"/>
        <w:rPr>
          <w:rFonts w:ascii="宋体" w:hAnsi="宋体" w:cs="宋体"/>
          <w:highlight w:val="none"/>
        </w:rPr>
      </w:pPr>
      <w:r>
        <w:rPr>
          <w:rFonts w:hint="eastAsia" w:ascii="宋体" w:hAnsi="宋体" w:cs="宋体"/>
          <w:sz w:val="52"/>
          <w:szCs w:val="52"/>
          <w:highlight w:val="none"/>
        </w:rPr>
        <w:t>支出绩效自评总结报告</w:t>
      </w:r>
    </w:p>
    <w:p>
      <w:pPr>
        <w:ind w:firstLine="0" w:firstLineChars="0"/>
        <w:jc w:val="center"/>
        <w:rPr>
          <w:rFonts w:ascii="宋体" w:hAnsi="宋体" w:eastAsia="宋体"/>
          <w:b/>
          <w:sz w:val="52"/>
          <w:szCs w:val="52"/>
          <w:highlight w:val="none"/>
        </w:rPr>
      </w:pPr>
    </w:p>
    <w:p>
      <w:pPr>
        <w:ind w:firstLine="0" w:firstLineChars="0"/>
        <w:jc w:val="center"/>
        <w:rPr>
          <w:highlight w:val="none"/>
        </w:rPr>
      </w:pPr>
    </w:p>
    <w:p>
      <w:pPr>
        <w:ind w:firstLine="0" w:firstLineChars="0"/>
        <w:jc w:val="center"/>
        <w:rPr>
          <w:rFonts w:ascii="宋体" w:hAnsi="宋体" w:eastAsia="宋体"/>
          <w:b/>
          <w:sz w:val="52"/>
          <w:szCs w:val="52"/>
          <w:highlight w:val="none"/>
        </w:rPr>
      </w:pPr>
    </w:p>
    <w:p>
      <w:pPr>
        <w:pStyle w:val="27"/>
        <w:rPr>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市场发展中心</w:t>
      </w:r>
    </w:p>
    <w:p>
      <w:pPr>
        <w:ind w:firstLine="0" w:firstLineChars="0"/>
        <w:jc w:val="center"/>
        <w:rPr>
          <w:rFonts w:ascii="宋体" w:hAnsi="宋体" w:eastAsia="宋体"/>
          <w:b/>
          <w:highlight w:val="none"/>
        </w:r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highlight w:val="none"/>
          <w:lang w:val="en-US" w:eastAsia="zh-CN"/>
        </w:rPr>
        <w:t>5</w:t>
      </w:r>
      <w:r>
        <w:rPr>
          <w:rFonts w:hint="eastAsia" w:ascii="宋体" w:hAnsi="宋体" w:eastAsia="宋体"/>
          <w:b/>
          <w:highlight w:val="none"/>
        </w:rPr>
        <w:t>月</w:t>
      </w:r>
    </w:p>
    <w:p>
      <w:pPr>
        <w:pStyle w:val="10"/>
        <w:rPr>
          <w:highlight w:val="none"/>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0"/>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0"/>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0"/>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0"/>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7</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7</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0"/>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（三）分析原因，提高施工效率</w:t>
      </w:r>
      <w:r>
        <w:tab/>
      </w:r>
      <w:r>
        <w:fldChar w:fldCharType="begin"/>
      </w:r>
      <w:r>
        <w:instrText xml:space="preserve"> PAGEREF _Toc24402 \h </w:instrText>
      </w:r>
      <w:r>
        <w:fldChar w:fldCharType="separate"/>
      </w:r>
      <w:r>
        <w:rPr>
          <w:b/>
        </w:rPr>
        <w:t>错误！未定义书签。</w:t>
      </w:r>
      <w:r>
        <w:fldChar w:fldCharType="end"/>
      </w:r>
      <w:r>
        <w:fldChar w:fldCharType="end"/>
      </w:r>
    </w:p>
    <w:p>
      <w:pPr>
        <w:pStyle w:val="10"/>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0"/>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2"/>
      </w:pPr>
      <w:bookmarkStart w:id="1" w:name="_Toc79333430"/>
      <w:bookmarkStart w:id="2" w:name="_Toc11574"/>
      <w:r>
        <w:rPr>
          <w:rFonts w:hint="eastAsia"/>
        </w:rPr>
        <w:t>一、项目基本情况</w:t>
      </w:r>
      <w:bookmarkEnd w:id="0"/>
      <w:bookmarkEnd w:id="1"/>
      <w:bookmarkEnd w:id="2"/>
    </w:p>
    <w:p>
      <w:pPr>
        <w:pStyle w:val="3"/>
      </w:pPr>
      <w:bookmarkStart w:id="3" w:name="_Toc8110"/>
      <w:bookmarkStart w:id="4" w:name="_Toc9575"/>
      <w:bookmarkStart w:id="5" w:name="_Toc79333431"/>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spacing w:line="540" w:lineRule="exact"/>
        <w:ind w:firstLine="640" w:firstLineChars="200"/>
        <w:rPr>
          <w:rFonts w:hint="eastAsia" w:ascii="仿宋" w:hAnsi="仿宋" w:eastAsia="仿宋" w:cs="仿宋"/>
          <w:color w:val="000000"/>
          <w:sz w:val="32"/>
          <w:szCs w:val="32"/>
        </w:rPr>
      </w:pPr>
      <w:bookmarkStart w:id="7" w:name="_Toc79333433"/>
      <w:r>
        <w:rPr>
          <w:rFonts w:hint="eastAsia" w:ascii="仿宋" w:hAnsi="仿宋" w:eastAsia="仿宋" w:cs="仿宋"/>
          <w:sz w:val="32"/>
          <w:szCs w:val="32"/>
          <w:lang w:val="en-US" w:eastAsia="zh-CN"/>
        </w:rPr>
        <w:t>2021年，县市场发展中心在县委、县政府的正确领导下，认真学习贯彻党的十九届四中、五中全会精神，以习近平新中国特色社会主义为指导，认真贯彻执行党的各项方针政策，围绕中心，服务大局，积极开展项目建设、西瓜市场管理、文明城市创建、扶贫攻坚等各项工作。</w:t>
      </w:r>
    </w:p>
    <w:p>
      <w:pPr>
        <w:pStyle w:val="4"/>
        <w:ind w:firstLine="643"/>
      </w:pPr>
      <w:r>
        <w:rPr>
          <w:rFonts w:hint="eastAsia"/>
        </w:rPr>
        <w:t>2、项目实施内容</w:t>
      </w:r>
      <w:bookmarkEnd w:id="7"/>
    </w:p>
    <w:p>
      <w:pPr>
        <w:pStyle w:val="3"/>
        <w:ind w:firstLine="960" w:firstLineChars="300"/>
        <w:rPr>
          <w:rFonts w:hint="eastAsia" w:ascii="仿宋" w:hAnsi="仿宋" w:eastAsia="仿宋" w:cs="仿宋"/>
          <w:b w:val="0"/>
          <w:bCs w:val="0"/>
          <w:kern w:val="2"/>
          <w:sz w:val="32"/>
          <w:szCs w:val="32"/>
          <w:lang w:val="en-US" w:eastAsia="zh-CN" w:bidi="ar-SA"/>
        </w:rPr>
      </w:pPr>
      <w:bookmarkStart w:id="8" w:name="_Toc79333434"/>
      <w:bookmarkStart w:id="9" w:name="_Toc14372"/>
      <w:bookmarkStart w:id="10" w:name="_Toc17607"/>
      <w:r>
        <w:rPr>
          <w:rFonts w:hint="eastAsia" w:ascii="仿宋" w:hAnsi="仿宋" w:eastAsia="仿宋" w:cs="仿宋"/>
          <w:b w:val="0"/>
          <w:bCs w:val="0"/>
          <w:kern w:val="2"/>
          <w:sz w:val="32"/>
          <w:szCs w:val="32"/>
          <w:lang w:val="en-US" w:eastAsia="zh-CN" w:bidi="ar-SA"/>
        </w:rPr>
        <w:t>举办消防安全知识讲座3场次，培训人员80人次，制作消防安全安全条幅20个，宣传板面6个，检修灭火器材220件，安装应急灯21个，防火安全标识40个，更新高清监控设备一套，改造线路60户，更换维修卷闸门12个，维修营业大棚9次。</w:t>
      </w:r>
    </w:p>
    <w:p>
      <w:pPr>
        <w:pStyle w:val="3"/>
      </w:pPr>
      <w:r>
        <w:rPr>
          <w:rFonts w:hint="eastAsia"/>
        </w:rPr>
        <w:t>（二）项目支出情况</w:t>
      </w:r>
      <w:bookmarkEnd w:id="8"/>
      <w:bookmarkEnd w:id="9"/>
      <w:bookmarkEnd w:id="10"/>
    </w:p>
    <w:p>
      <w:pPr>
        <w:pStyle w:val="4"/>
        <w:ind w:firstLine="643"/>
      </w:pPr>
      <w:bookmarkStart w:id="11" w:name="_Toc79333435"/>
      <w:bookmarkStart w:id="12" w:name="_Toc28118"/>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120</w:t>
      </w:r>
      <w:r>
        <w:rPr>
          <w:rFonts w:hint="eastAsia"/>
          <w:highlight w:val="none"/>
        </w:rPr>
        <w:t>万元，当年实际执行</w:t>
      </w:r>
      <w:bookmarkStart w:id="79" w:name="_GoBack"/>
      <w:bookmarkEnd w:id="79"/>
      <w:r>
        <w:rPr>
          <w:rFonts w:hint="eastAsia"/>
          <w:highlight w:val="none"/>
          <w:lang w:val="en-US" w:eastAsia="zh-CN"/>
        </w:rPr>
        <w:t>120</w:t>
      </w:r>
      <w:r>
        <w:rPr>
          <w:rFonts w:hint="eastAsia"/>
          <w:highlight w:val="none"/>
        </w:rPr>
        <w:t>万元。</w:t>
      </w:r>
    </w:p>
    <w:p>
      <w:pPr>
        <w:pStyle w:val="4"/>
        <w:ind w:firstLine="643"/>
        <w:rPr>
          <w:highlight w:val="none"/>
        </w:rPr>
      </w:pPr>
      <w:bookmarkStart w:id="13" w:name="_Toc18098"/>
      <w:bookmarkStart w:id="14" w:name="_Toc79333436"/>
      <w:r>
        <w:rPr>
          <w:rFonts w:hint="eastAsia"/>
          <w:highlight w:val="none"/>
        </w:rPr>
        <w:t>2、项目预算执行情况</w:t>
      </w:r>
      <w:bookmarkEnd w:id="13"/>
      <w:bookmarkEnd w:id="14"/>
    </w:p>
    <w:p>
      <w:pPr>
        <w:ind w:firstLine="640"/>
        <w:jc w:val="left"/>
        <w:rPr>
          <w:rFonts w:hint="eastAsia"/>
          <w:highlight w:val="none"/>
        </w:rPr>
      </w:pPr>
      <w:r>
        <w:rPr>
          <w:rFonts w:hint="eastAsia"/>
          <w:highlight w:val="none"/>
        </w:rPr>
        <w:t>项目实际支出</w:t>
      </w:r>
      <w:r>
        <w:rPr>
          <w:rFonts w:hint="eastAsia"/>
          <w:highlight w:val="none"/>
          <w:lang w:val="en-US" w:eastAsia="zh-CN"/>
        </w:rPr>
        <w:t>120</w:t>
      </w:r>
      <w:r>
        <w:rPr>
          <w:rFonts w:hint="eastAsia"/>
          <w:highlight w:val="none"/>
        </w:rPr>
        <w:t>万元。</w:t>
      </w:r>
    </w:p>
    <w:p>
      <w:pPr>
        <w:ind w:firstLine="640"/>
        <w:jc w:val="left"/>
        <w:rPr>
          <w:rFonts w:hint="default" w:eastAsia="仿宋"/>
          <w:highlight w:val="none"/>
          <w:lang w:val="en-US" w:eastAsia="zh-CN"/>
        </w:rPr>
      </w:pPr>
      <w:r>
        <w:rPr>
          <w:rFonts w:hint="eastAsia"/>
          <w:highlight w:val="none"/>
          <w:lang w:eastAsia="zh-CN"/>
        </w:rPr>
        <w:t>其中人员经费支出：</w:t>
      </w:r>
      <w:r>
        <w:rPr>
          <w:rFonts w:hint="eastAsia"/>
          <w:highlight w:val="none"/>
          <w:lang w:val="en-US" w:eastAsia="zh-CN"/>
        </w:rPr>
        <w:t>20万元、消防安全知识讲座6万元、宣传费支出15万元、安全设施采购12万元、线路改造45万元、市场更换维护费12万元、维修大棚20万元。</w:t>
      </w:r>
    </w:p>
    <w:p>
      <w:pPr>
        <w:pStyle w:val="2"/>
        <w:rPr>
          <w:highlight w:val="none"/>
        </w:rPr>
      </w:pPr>
      <w:bookmarkStart w:id="15" w:name="_Toc75871361"/>
      <w:bookmarkStart w:id="16" w:name="_Toc10420"/>
      <w:bookmarkStart w:id="17" w:name="_Toc1209"/>
      <w:bookmarkStart w:id="18" w:name="_Toc79333437"/>
      <w:r>
        <w:rPr>
          <w:rFonts w:hint="eastAsia"/>
          <w:highlight w:val="none"/>
        </w:rPr>
        <w:t>二、绩效自评工作开展情况</w:t>
      </w:r>
      <w:bookmarkEnd w:id="15"/>
      <w:bookmarkEnd w:id="16"/>
      <w:bookmarkEnd w:id="17"/>
      <w:bookmarkEnd w:id="18"/>
    </w:p>
    <w:p>
      <w:pPr>
        <w:pStyle w:val="3"/>
        <w:rPr>
          <w:highlight w:val="none"/>
        </w:rPr>
      </w:pPr>
      <w:bookmarkStart w:id="19" w:name="_Toc2270"/>
      <w:bookmarkStart w:id="20" w:name="_Toc79333438"/>
      <w:bookmarkStart w:id="21" w:name="_Toc75871362"/>
      <w:r>
        <w:rPr>
          <w:rFonts w:hint="eastAsia"/>
          <w:highlight w:val="none"/>
        </w:rPr>
        <w:t>（一）绩效自评价目的和意义</w:t>
      </w:r>
      <w:bookmarkEnd w:id="19"/>
      <w:bookmarkEnd w:id="20"/>
      <w:bookmarkEnd w:id="21"/>
    </w:p>
    <w:p>
      <w:pPr>
        <w:ind w:firstLine="640"/>
        <w:rPr>
          <w:highlight w:val="none"/>
        </w:rPr>
      </w:pPr>
      <w:r>
        <w:rPr>
          <w:rFonts w:hint="eastAsia"/>
          <w:highlight w:val="none"/>
        </w:rPr>
        <w:t>预算支出绩效自评价是预算单位运用科学、规范的评价方法，对照统一的评价标准，对预算支出的效率和效益进行的自我衡量和综合评价。</w:t>
      </w:r>
    </w:p>
    <w:p>
      <w:pPr>
        <w:ind w:firstLine="640"/>
        <w:rPr>
          <w:highlight w:val="none"/>
        </w:rPr>
      </w:pPr>
      <w:r>
        <w:rPr>
          <w:rFonts w:hint="eastAsia"/>
          <w:highlight w:val="none"/>
        </w:rPr>
        <w:t>预算支出绩效自评价的目的是：通过对绩效目标的综合考评，合理配置资源，优化支出结构，规范预算资金分配，提高财政资源配置效率和使用效益。</w:t>
      </w:r>
    </w:p>
    <w:p>
      <w:pPr>
        <w:ind w:firstLine="640"/>
        <w:rPr>
          <w:highlight w:val="none"/>
        </w:rPr>
      </w:pPr>
      <w:r>
        <w:rPr>
          <w:rFonts w:hint="eastAsia"/>
          <w:highlight w:val="none"/>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rPr>
          <w:highlight w:val="none"/>
        </w:rPr>
      </w:pPr>
      <w:bookmarkStart w:id="22" w:name="_Toc5617"/>
      <w:bookmarkStart w:id="23" w:name="_Toc3060"/>
      <w:bookmarkStart w:id="24" w:name="_Toc75871363"/>
      <w:bookmarkStart w:id="25" w:name="_Toc79333439"/>
      <w:r>
        <w:rPr>
          <w:rFonts w:hint="eastAsia"/>
          <w:highlight w:val="none"/>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公用经费</w:t>
      </w:r>
      <w:r>
        <w:rPr>
          <w:rFonts w:hint="eastAsia"/>
          <w:highlight w:val="none"/>
        </w:rPr>
        <w:t>专项资金，评价范围为涉及该项目管理及其预算资金</w:t>
      </w:r>
      <w:r>
        <w:rPr>
          <w:rFonts w:hint="eastAsia"/>
          <w:highlight w:val="none"/>
          <w:lang w:val="en-US" w:eastAsia="zh-CN"/>
        </w:rPr>
        <w:t>120</w:t>
      </w:r>
      <w:r>
        <w:rPr>
          <w:rFonts w:hint="eastAsia"/>
          <w:highlight w:val="none"/>
        </w:rPr>
        <w:t>万元的使用情况。</w:t>
      </w:r>
    </w:p>
    <w:p>
      <w:pPr>
        <w:pStyle w:val="3"/>
        <w:rPr>
          <w:highlight w:val="none"/>
        </w:rPr>
      </w:pPr>
      <w:bookmarkStart w:id="26" w:name="_Toc75871364"/>
      <w:bookmarkStart w:id="27" w:name="_Toc8160"/>
      <w:bookmarkStart w:id="28" w:name="_Toc79333440"/>
      <w:bookmarkStart w:id="29" w:name="_Toc12774"/>
      <w:r>
        <w:rPr>
          <w:rFonts w:hint="eastAsia"/>
          <w:highlight w:val="none"/>
        </w:rPr>
        <w:t>（三）绩效评价的依据</w:t>
      </w:r>
      <w:bookmarkEnd w:id="26"/>
      <w:bookmarkEnd w:id="27"/>
      <w:bookmarkEnd w:id="28"/>
      <w:bookmarkEnd w:id="29"/>
    </w:p>
    <w:p>
      <w:pPr>
        <w:numPr>
          <w:ilvl w:val="0"/>
          <w:numId w:val="1"/>
        </w:numPr>
        <w:ind w:firstLine="640"/>
        <w:rPr>
          <w:highlight w:val="none"/>
        </w:rPr>
      </w:pPr>
      <w:r>
        <w:rPr>
          <w:rFonts w:hint="eastAsia"/>
          <w:highlight w:val="none"/>
        </w:rPr>
        <w:t>中共中央、国务院《关于全面实施预算绩效管理的意见》（中发〔2018〕34号）；</w:t>
      </w:r>
    </w:p>
    <w:p>
      <w:pPr>
        <w:numPr>
          <w:ilvl w:val="0"/>
          <w:numId w:val="1"/>
        </w:numPr>
        <w:ind w:firstLine="640"/>
        <w:rPr>
          <w:highlight w:val="none"/>
        </w:rPr>
      </w:pPr>
      <w:r>
        <w:rPr>
          <w:rFonts w:hint="eastAsia"/>
          <w:highlight w:val="none"/>
        </w:rPr>
        <w:t>《项目支出绩效评价管理办法》（财预〔2020〕10号）；</w:t>
      </w:r>
    </w:p>
    <w:p>
      <w:pPr>
        <w:numPr>
          <w:ilvl w:val="0"/>
          <w:numId w:val="1"/>
        </w:numPr>
        <w:ind w:firstLine="640"/>
        <w:rPr>
          <w:highlight w:val="none"/>
        </w:rPr>
      </w:pPr>
      <w:r>
        <w:rPr>
          <w:rFonts w:hint="eastAsia"/>
          <w:highlight w:val="none"/>
        </w:rPr>
        <w:t>《预算绩效评价共性指标体系框架》（财预〔2013〕53号）；</w:t>
      </w:r>
    </w:p>
    <w:p>
      <w:pPr>
        <w:numPr>
          <w:ilvl w:val="0"/>
          <w:numId w:val="1"/>
        </w:numPr>
        <w:ind w:firstLine="640"/>
        <w:rPr>
          <w:highlight w:val="none"/>
        </w:rPr>
      </w:pPr>
      <w:r>
        <w:rPr>
          <w:rFonts w:hint="eastAsia"/>
          <w:highlight w:val="none"/>
        </w:rPr>
        <w:t>《中共河南省委 河南省人民政府关于全面实施预算绩效管理的实施意见》（豫发〔2019〕10号）；</w:t>
      </w:r>
    </w:p>
    <w:p>
      <w:pPr>
        <w:numPr>
          <w:ilvl w:val="0"/>
          <w:numId w:val="1"/>
        </w:numPr>
        <w:ind w:firstLine="640"/>
        <w:rPr>
          <w:highlight w:val="none"/>
        </w:rPr>
      </w:pPr>
      <w:r>
        <w:rPr>
          <w:rFonts w:hint="eastAsia"/>
          <w:highlight w:val="none"/>
        </w:rPr>
        <w:t>河南省财政厅关于印发《河南省省级预算项目支出绩效评价管理办法》的通知（豫财效〔2020〕10号）；</w:t>
      </w:r>
    </w:p>
    <w:p>
      <w:pPr>
        <w:numPr>
          <w:ilvl w:val="0"/>
          <w:numId w:val="1"/>
        </w:numPr>
        <w:ind w:firstLine="640"/>
        <w:rPr>
          <w:highlight w:val="none"/>
        </w:rPr>
      </w:pPr>
      <w:r>
        <w:rPr>
          <w:rFonts w:hint="eastAsia"/>
          <w:highlight w:val="none"/>
        </w:rPr>
        <w:t>与本次自评相关的其他资料。</w:t>
      </w:r>
    </w:p>
    <w:p>
      <w:pPr>
        <w:pStyle w:val="3"/>
        <w:rPr>
          <w:highlight w:val="none"/>
        </w:rPr>
      </w:pPr>
      <w:bookmarkStart w:id="30" w:name="_Toc13521"/>
      <w:bookmarkStart w:id="31" w:name="_Toc9578"/>
      <w:bookmarkStart w:id="32" w:name="_Toc75871365"/>
      <w:bookmarkStart w:id="33" w:name="_Toc79333441"/>
      <w:r>
        <w:rPr>
          <w:rFonts w:hint="eastAsia"/>
          <w:highlight w:val="none"/>
        </w:rPr>
        <w:t>（四）评分方法</w:t>
      </w:r>
      <w:bookmarkEnd w:id="30"/>
      <w:bookmarkEnd w:id="31"/>
      <w:bookmarkEnd w:id="32"/>
      <w:bookmarkEnd w:id="33"/>
    </w:p>
    <w:p>
      <w:pPr>
        <w:ind w:firstLine="640"/>
        <w:rPr>
          <w:highlight w:val="none"/>
        </w:rPr>
      </w:pPr>
      <w:bookmarkStart w:id="34" w:name="_Toc27533"/>
      <w:r>
        <w:rPr>
          <w:rFonts w:hint="eastAsia"/>
          <w:highlight w:val="none"/>
        </w:rPr>
        <w:t>根据财政部《项目支出绩效评价管理办法》（财预〔2020〕10号）第十六条的相关要求：</w:t>
      </w:r>
    </w:p>
    <w:p>
      <w:pPr>
        <w:ind w:firstLine="640"/>
        <w:rPr>
          <w:highlight w:val="none"/>
        </w:rPr>
      </w:pPr>
      <w:r>
        <w:rPr>
          <w:rFonts w:hint="eastAsia"/>
          <w:highlight w:val="none"/>
        </w:rPr>
        <w:t>单位自评采用定量与定性评价相结合的比较法，总分由各项指标得分汇总形成。</w:t>
      </w:r>
    </w:p>
    <w:p>
      <w:pPr>
        <w:ind w:firstLine="640"/>
        <w:rPr>
          <w:highlight w:val="none"/>
        </w:rPr>
      </w:pPr>
      <w:r>
        <w:rPr>
          <w:rFonts w:hint="eastAsia"/>
          <w:highlight w:val="none"/>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rPr>
          <w:highlight w:val="none"/>
        </w:rPr>
      </w:pPr>
      <w:r>
        <w:rPr>
          <w:rFonts w:hint="eastAsia"/>
          <w:highlight w:val="none"/>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rPr>
          <w:highlight w:val="none"/>
        </w:rPr>
      </w:pPr>
      <w:r>
        <w:rPr>
          <w:highlight w:val="none"/>
        </w:rPr>
        <w:t>评分表满分为100分，</w:t>
      </w:r>
      <w:r>
        <w:rPr>
          <w:rFonts w:hint="eastAsia"/>
          <w:highlight w:val="none"/>
        </w:rPr>
        <w:t>一</w:t>
      </w:r>
      <w:r>
        <w:rPr>
          <w:highlight w:val="none"/>
        </w:rP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rPr>
          <w:highlight w:val="none"/>
        </w:rPr>
      </w:pPr>
      <w:r>
        <w:rPr>
          <w:rFonts w:hint="eastAsia"/>
          <w:highlight w:val="none"/>
        </w:rPr>
        <w:t>综合各级政府绩效评价相关政策，按照政策相关要求，根据指标的重要程度确定各项三级指标的权重分值。</w:t>
      </w:r>
    </w:p>
    <w:p>
      <w:pPr>
        <w:pStyle w:val="3"/>
        <w:rPr>
          <w:highlight w:val="none"/>
        </w:rPr>
      </w:pPr>
      <w:bookmarkStart w:id="35" w:name="_Toc79333442"/>
      <w:bookmarkStart w:id="36" w:name="_Toc75871366"/>
      <w:bookmarkStart w:id="37" w:name="_Toc489"/>
      <w:r>
        <w:rPr>
          <w:rFonts w:hint="eastAsia"/>
          <w:highlight w:val="none"/>
        </w:rPr>
        <w:t>（五）绩效自评工作组织</w:t>
      </w:r>
      <w:bookmarkEnd w:id="34"/>
      <w:bookmarkEnd w:id="35"/>
      <w:bookmarkEnd w:id="36"/>
      <w:bookmarkEnd w:id="37"/>
    </w:p>
    <w:p>
      <w:pPr>
        <w:ind w:firstLine="640"/>
        <w:rPr>
          <w:highlight w:val="none"/>
        </w:rPr>
      </w:pPr>
      <w:r>
        <w:rPr>
          <w:rFonts w:hint="eastAsia"/>
          <w:highlight w:val="none"/>
        </w:rPr>
        <w:t>我单位依据自评价相关要求，成立项目自评领导小组，下设自评工作组，由工作组根据具体项目指定专人配合进行自评。</w:t>
      </w:r>
    </w:p>
    <w:p>
      <w:pPr>
        <w:ind w:firstLine="640"/>
        <w:rPr>
          <w:highlight w:val="none"/>
        </w:rPr>
      </w:pPr>
      <w:r>
        <w:rPr>
          <w:rFonts w:hint="eastAsia"/>
          <w:highlight w:val="none"/>
        </w:rPr>
        <w:t>工作组主要工作内容有：</w:t>
      </w:r>
    </w:p>
    <w:p>
      <w:pPr>
        <w:ind w:firstLine="640"/>
        <w:rPr>
          <w:highlight w:val="none"/>
        </w:rPr>
      </w:pPr>
      <w:r>
        <w:rPr>
          <w:rFonts w:hint="eastAsia"/>
          <w:highlight w:val="none"/>
        </w:rPr>
        <w:t>1、召开自评价专门会议，进行自评价工作的统一部署并组织项目相关成员进行必要的政策法规学习；</w:t>
      </w:r>
    </w:p>
    <w:p>
      <w:pPr>
        <w:ind w:firstLine="640"/>
        <w:rPr>
          <w:highlight w:val="none"/>
        </w:rPr>
      </w:pPr>
      <w:r>
        <w:rPr>
          <w:rFonts w:hint="eastAsia"/>
          <w:highlight w:val="none"/>
        </w:rPr>
        <w:t>2、组织有效的调查研究、项目座谈、查阅相关资料；</w:t>
      </w:r>
    </w:p>
    <w:p>
      <w:pPr>
        <w:ind w:firstLine="640"/>
        <w:rPr>
          <w:highlight w:val="none"/>
        </w:rPr>
      </w:pPr>
      <w:r>
        <w:rPr>
          <w:rFonts w:hint="eastAsia"/>
          <w:highlight w:val="none"/>
        </w:rPr>
        <w:t>3、根据获取的资料，依照《项目支出绩效自评表》进行合理打分；</w:t>
      </w:r>
    </w:p>
    <w:p>
      <w:pPr>
        <w:ind w:firstLine="640"/>
        <w:rPr>
          <w:highlight w:val="none"/>
        </w:rPr>
      </w:pPr>
      <w:r>
        <w:rPr>
          <w:rFonts w:hint="eastAsia"/>
          <w:highlight w:val="none"/>
        </w:rPr>
        <w:t>4、综合上述工作成果，撰写项目自评价报告；</w:t>
      </w:r>
    </w:p>
    <w:p>
      <w:pPr>
        <w:ind w:firstLine="640"/>
        <w:rPr>
          <w:highlight w:val="none"/>
        </w:rPr>
      </w:pPr>
      <w:r>
        <w:rPr>
          <w:rFonts w:hint="eastAsia"/>
          <w:highlight w:val="none"/>
        </w:rPr>
        <w:t>5、完成项目绩效评价相关政策所要求的其他事项。</w:t>
      </w:r>
    </w:p>
    <w:p>
      <w:pPr>
        <w:pStyle w:val="2"/>
        <w:rPr>
          <w:highlight w:val="none"/>
        </w:rPr>
      </w:pPr>
      <w:bookmarkStart w:id="38" w:name="_Toc79333443"/>
      <w:bookmarkStart w:id="39" w:name="_Toc24506"/>
      <w:r>
        <w:rPr>
          <w:rFonts w:hint="eastAsia"/>
          <w:highlight w:val="none"/>
        </w:rPr>
        <w:t>三、绩效自评结果及分析</w:t>
      </w:r>
      <w:bookmarkEnd w:id="38"/>
      <w:bookmarkEnd w:id="39"/>
    </w:p>
    <w:p>
      <w:pPr>
        <w:pStyle w:val="3"/>
        <w:rPr>
          <w:highlight w:val="none"/>
        </w:rPr>
      </w:pPr>
      <w:bookmarkStart w:id="40" w:name="_Toc79333444"/>
      <w:bookmarkStart w:id="41" w:name="_Toc4028"/>
      <w:bookmarkStart w:id="42" w:name="_Toc25356"/>
      <w:r>
        <w:rPr>
          <w:highlight w:val="none"/>
        </w:rPr>
        <w:t>（一）绩效自评价结果</w:t>
      </w:r>
      <w:bookmarkEnd w:id="40"/>
      <w:bookmarkEnd w:id="41"/>
      <w:bookmarkEnd w:id="42"/>
    </w:p>
    <w:p>
      <w:pPr>
        <w:ind w:firstLine="640"/>
        <w:rPr>
          <w:highlight w:val="none"/>
        </w:rPr>
      </w:pPr>
      <w:r>
        <w:rPr>
          <w:rFonts w:hint="eastAsia"/>
          <w:highlight w:val="none"/>
        </w:rPr>
        <w:t>根据自评相关规定，绩效评价结果实行百分制和四级分类，分别是：90-100分为优、80-89分为良、60-79分为中、0-59分为差。</w:t>
      </w:r>
    </w:p>
    <w:p>
      <w:pPr>
        <w:ind w:firstLine="640"/>
        <w:rPr>
          <w:highlight w:val="none"/>
        </w:rPr>
      </w:pPr>
      <w:r>
        <w:rPr>
          <w:rFonts w:hint="eastAsia"/>
          <w:highlight w:val="none"/>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.1所示</w:t>
      </w:r>
    </w:p>
    <w:p>
      <w:pPr>
        <w:pStyle w:val="17"/>
        <w:ind w:firstLine="643"/>
        <w:rPr>
          <w:highlight w:val="none"/>
        </w:rPr>
      </w:pPr>
      <w:r>
        <w:rPr>
          <w:rFonts w:hint="eastAsia"/>
          <w:highlight w:val="none"/>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3"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二级指标</w:t>
            </w:r>
          </w:p>
        </w:tc>
        <w:tc>
          <w:tcPr>
            <w:tcW w:w="16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实际得分</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3" w:type="pct"/>
            <w:vMerge w:val="restart"/>
            <w:tcBorders>
              <w:left w:val="single" w:color="auto" w:sz="4" w:space="0"/>
              <w:right w:val="single" w:color="auto" w:sz="4" w:space="0"/>
            </w:tcBorders>
            <w:vAlign w:val="center"/>
          </w:tcPr>
          <w:p>
            <w:pPr>
              <w:pStyle w:val="16"/>
              <w:rPr>
                <w:highlight w:val="none"/>
              </w:rPr>
            </w:pPr>
            <w:r>
              <w:rPr>
                <w:rFonts w:hint="eastAsia"/>
                <w:highlight w:val="none"/>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6"/>
              <w:rPr>
                <w:highlight w:val="none"/>
              </w:rPr>
            </w:pPr>
            <w:r>
              <w:rPr>
                <w:rFonts w:hint="eastAsia"/>
                <w:highlight w:val="none"/>
              </w:rPr>
              <w:t>数量指标</w:t>
            </w:r>
          </w:p>
        </w:tc>
        <w:tc>
          <w:tcPr>
            <w:tcW w:w="1613"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举办消防安全知识讲座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vAlign w:val="center"/>
          </w:tcPr>
          <w:p>
            <w:pPr>
              <w:pStyle w:val="16"/>
              <w:rPr>
                <w:highlight w:val="none"/>
              </w:rPr>
            </w:pPr>
          </w:p>
        </w:tc>
        <w:tc>
          <w:tcPr>
            <w:tcW w:w="949" w:type="pct"/>
            <w:vMerge w:val="continue"/>
            <w:tcBorders>
              <w:left w:val="single" w:color="auto" w:sz="4" w:space="0"/>
              <w:right w:val="single" w:color="auto" w:sz="4" w:space="0"/>
            </w:tcBorders>
            <w:vAlign w:val="center"/>
          </w:tcPr>
          <w:p>
            <w:pPr>
              <w:pStyle w:val="16"/>
              <w:rPr>
                <w:highlight w:val="none"/>
              </w:rPr>
            </w:pPr>
          </w:p>
        </w:tc>
        <w:tc>
          <w:tcPr>
            <w:tcW w:w="1613"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检修灭火器材</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vAlign w:val="center"/>
          </w:tcPr>
          <w:p>
            <w:pPr>
              <w:pStyle w:val="16"/>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质量指标</w:t>
            </w:r>
          </w:p>
        </w:tc>
        <w:tc>
          <w:tcPr>
            <w:tcW w:w="1613"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火灾事故发生数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vAlign w:val="center"/>
          </w:tcPr>
          <w:p>
            <w:pPr>
              <w:pStyle w:val="16"/>
              <w:rPr>
                <w:highlight w:val="none"/>
              </w:rPr>
            </w:pPr>
          </w:p>
        </w:tc>
        <w:tc>
          <w:tcPr>
            <w:tcW w:w="949" w:type="pct"/>
            <w:vMerge w:val="continue"/>
            <w:tcBorders>
              <w:left w:val="single" w:color="auto" w:sz="4" w:space="0"/>
              <w:right w:val="single" w:color="auto" w:sz="4" w:space="0"/>
            </w:tcBorders>
            <w:vAlign w:val="center"/>
          </w:tcPr>
          <w:p>
            <w:pPr>
              <w:pStyle w:val="16"/>
              <w:rPr>
                <w:highlight w:val="none"/>
              </w:rPr>
            </w:pPr>
          </w:p>
        </w:tc>
        <w:tc>
          <w:tcPr>
            <w:tcW w:w="1613" w:type="pct"/>
            <w:tcBorders>
              <w:top w:val="nil"/>
              <w:left w:val="nil"/>
              <w:bottom w:val="single" w:color="auto" w:sz="4" w:space="0"/>
              <w:right w:val="single" w:color="auto" w:sz="4" w:space="0"/>
            </w:tcBorders>
            <w:shd w:val="clear" w:color="auto" w:fill="auto"/>
            <w:vAlign w:val="center"/>
          </w:tcPr>
          <w:p>
            <w:pPr>
              <w:pStyle w:val="16"/>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vAlign w:val="center"/>
          </w:tcPr>
          <w:p>
            <w:pPr>
              <w:pStyle w:val="16"/>
              <w:rPr>
                <w:highlight w:val="none"/>
              </w:rPr>
            </w:pPr>
          </w:p>
        </w:tc>
        <w:tc>
          <w:tcPr>
            <w:tcW w:w="949" w:type="pc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时效指标</w:t>
            </w:r>
          </w:p>
        </w:tc>
        <w:tc>
          <w:tcPr>
            <w:tcW w:w="1613"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项目执行时间</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bottom w:val="single" w:color="000000" w:sz="4" w:space="0"/>
              <w:right w:val="single" w:color="auto" w:sz="4" w:space="0"/>
            </w:tcBorders>
            <w:vAlign w:val="center"/>
          </w:tcPr>
          <w:p>
            <w:pPr>
              <w:pStyle w:val="16"/>
              <w:rPr>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16"/>
              <w:rPr>
                <w:highlight w:val="none"/>
              </w:rPr>
            </w:pPr>
            <w:r>
              <w:rPr>
                <w:rFonts w:hint="eastAsia"/>
                <w:highlight w:val="none"/>
              </w:rPr>
              <w:t>成本指标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公用经费支出成本</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3"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经济效益指标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rPr>
              <w:t>促进农贸市场稳定健康发展</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shd w:val="clear" w:color="auto" w:fill="auto"/>
            <w:noWrap/>
            <w:vAlign w:val="center"/>
          </w:tcPr>
          <w:p>
            <w:pPr>
              <w:pStyle w:val="16"/>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社会效益指标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r>
              <w:rPr>
                <w:rFonts w:hint="eastAsia"/>
                <w:highlight w:val="none"/>
              </w:rPr>
              <w:t>改善农贸市场购物环境</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3" w:type="pct"/>
            <w:vMerge w:val="continue"/>
            <w:tcBorders>
              <w:left w:val="single" w:color="auto" w:sz="4" w:space="0"/>
              <w:right w:val="single" w:color="auto" w:sz="4" w:space="0"/>
            </w:tcBorders>
            <w:shd w:val="clear" w:color="auto" w:fill="auto"/>
            <w:noWrap/>
            <w:vAlign w:val="center"/>
          </w:tcPr>
          <w:p>
            <w:pPr>
              <w:pStyle w:val="16"/>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生态效益指标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r>
      <w:tr>
        <w:tblPrEx>
          <w:tblCellMar>
            <w:top w:w="0" w:type="dxa"/>
            <w:left w:w="108" w:type="dxa"/>
            <w:bottom w:w="0" w:type="dxa"/>
            <w:right w:w="108" w:type="dxa"/>
          </w:tblCellMar>
        </w:tblPrEx>
        <w:trPr>
          <w:trHeight w:val="567" w:hRule="atLeast"/>
          <w:jc w:val="center"/>
        </w:trPr>
        <w:tc>
          <w:tcPr>
            <w:tcW w:w="773" w:type="pct"/>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可持续影响指标</w:t>
            </w:r>
          </w:p>
        </w:tc>
        <w:tc>
          <w:tcPr>
            <w:tcW w:w="1613" w:type="pct"/>
            <w:tcBorders>
              <w:top w:val="single" w:color="000000" w:sz="4" w:space="0"/>
              <w:left w:val="nil"/>
              <w:bottom w:val="single" w:color="auto" w:sz="4" w:space="0"/>
              <w:right w:val="single" w:color="000000" w:sz="4" w:space="0"/>
            </w:tcBorders>
            <w:shd w:val="clear" w:color="auto" w:fill="auto"/>
            <w:vAlign w:val="center"/>
          </w:tcPr>
          <w:p>
            <w:pPr>
              <w:pStyle w:val="16"/>
              <w:rPr>
                <w:highlight w:val="none"/>
              </w:rPr>
            </w:pPr>
            <w:r>
              <w:rPr>
                <w:rFonts w:hint="eastAsia"/>
                <w:highlight w:val="none"/>
              </w:rPr>
              <w:t>市场经济可持续发展</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3"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满意度</w:t>
            </w:r>
          </w:p>
          <w:p>
            <w:pPr>
              <w:pStyle w:val="16"/>
              <w:rPr>
                <w:highlight w:val="none"/>
              </w:rPr>
            </w:pPr>
            <w:r>
              <w:rPr>
                <w:rFonts w:hint="eastAsia"/>
                <w:highlight w:val="none"/>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服务对象满意度指标</w:t>
            </w:r>
          </w:p>
        </w:tc>
        <w:tc>
          <w:tcPr>
            <w:tcW w:w="1613" w:type="pct"/>
            <w:tcBorders>
              <w:top w:val="single" w:color="auto" w:sz="4" w:space="0"/>
              <w:left w:val="nil"/>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群众满意度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rPr>
                <w:rFonts w:hint="eastAsia" w:eastAsia="仿宋"/>
                <w:highlight w:val="none"/>
                <w:lang w:val="en-US" w:eastAsia="zh-CN"/>
              </w:rPr>
            </w:pPr>
            <w:r>
              <w:rPr>
                <w:rFonts w:hint="eastAsia"/>
                <w:highlight w:val="none"/>
                <w:lang w:val="en-US" w:eastAsia="zh-CN"/>
              </w:rPr>
              <w:t>8</w:t>
            </w:r>
          </w:p>
        </w:tc>
      </w:tr>
      <w:tr>
        <w:tblPrEx>
          <w:tblCellMar>
            <w:top w:w="0" w:type="dxa"/>
            <w:left w:w="108" w:type="dxa"/>
            <w:bottom w:w="0" w:type="dxa"/>
            <w:right w:w="108" w:type="dxa"/>
          </w:tblCellMar>
        </w:tblPrEx>
        <w:trPr>
          <w:trHeight w:val="567" w:hRule="atLeast"/>
          <w:jc w:val="center"/>
        </w:trPr>
        <w:tc>
          <w:tcPr>
            <w:tcW w:w="3335"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rPr>
                <w:rFonts w:hint="default" w:eastAsia="仿宋"/>
                <w:highlight w:val="none"/>
                <w:lang w:val="en-US" w:eastAsia="zh-CN"/>
              </w:rPr>
            </w:pPr>
            <w:r>
              <w:rPr>
                <w:rFonts w:hint="eastAsia"/>
                <w:highlight w:val="none"/>
                <w:lang w:val="en-US" w:eastAsia="zh-CN"/>
              </w:rPr>
              <w:t>97</w:t>
            </w:r>
          </w:p>
        </w:tc>
      </w:tr>
    </w:tbl>
    <w:p>
      <w:pPr>
        <w:pStyle w:val="3"/>
        <w:rPr>
          <w:highlight w:val="none"/>
        </w:rPr>
      </w:pPr>
      <w:bookmarkStart w:id="43" w:name="_Toc31442"/>
      <w:bookmarkStart w:id="44" w:name="_Toc79333445"/>
      <w:bookmarkStart w:id="45" w:name="_Toc24245"/>
      <w:r>
        <w:rPr>
          <w:rFonts w:hint="eastAsia"/>
          <w:highlight w:val="none"/>
        </w:rPr>
        <w:t>（二）自评指标分析</w:t>
      </w:r>
      <w:bookmarkEnd w:id="43"/>
      <w:bookmarkEnd w:id="44"/>
      <w:bookmarkEnd w:id="45"/>
    </w:p>
    <w:p>
      <w:pPr>
        <w:pStyle w:val="4"/>
        <w:ind w:firstLine="643"/>
        <w:rPr>
          <w:highlight w:val="none"/>
        </w:rPr>
      </w:pPr>
      <w:bookmarkStart w:id="46" w:name="_Toc9747"/>
      <w:bookmarkStart w:id="47" w:name="_Toc79333446"/>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项目全年预算资金为</w:t>
      </w:r>
      <w:r>
        <w:rPr>
          <w:rFonts w:hint="eastAsia"/>
          <w:highlight w:val="none"/>
          <w:lang w:val="en-US" w:eastAsia="zh-CN"/>
        </w:rPr>
        <w:t>120</w:t>
      </w:r>
      <w:r>
        <w:rPr>
          <w:rFonts w:hint="eastAsia"/>
          <w:highlight w:val="none"/>
        </w:rPr>
        <w:t>万元，全年执行数为</w:t>
      </w:r>
      <w:r>
        <w:rPr>
          <w:rFonts w:hint="eastAsia"/>
          <w:highlight w:val="none"/>
          <w:lang w:val="en-US" w:eastAsia="zh-CN"/>
        </w:rPr>
        <w:t>120</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rPr>
          <w:highlight w:val="none"/>
        </w:rPr>
      </w:pPr>
      <w:bookmarkStart w:id="48" w:name="_Toc79333447"/>
      <w:r>
        <w:rPr>
          <w:rFonts w:hint="eastAsia"/>
          <w:highlight w:val="none"/>
        </w:rPr>
        <w:t>2、产出指标分析</w:t>
      </w:r>
      <w:bookmarkEnd w:id="48"/>
    </w:p>
    <w:p>
      <w:pPr>
        <w:ind w:firstLine="640"/>
        <w:rPr>
          <w:highlight w:val="none"/>
        </w:rPr>
      </w:pPr>
      <w:r>
        <w:rPr>
          <w:rFonts w:hint="eastAsia"/>
          <w:highlight w:val="none"/>
        </w:rPr>
        <w:t>一级指标“产出指标”下设四个二级指标分别</w:t>
      </w:r>
      <w:r>
        <w:rPr>
          <w:rFonts w:hint="eastAsia"/>
          <w:highlight w:val="none"/>
          <w:lang w:val="en-US" w:eastAsia="zh-CN"/>
        </w:rPr>
        <w:t xml:space="preserve">        </w:t>
      </w:r>
      <w:r>
        <w:rPr>
          <w:rFonts w:hint="eastAsia"/>
          <w:highlight w:val="none"/>
        </w:rPr>
        <w:t>是：“数量指标”、“质量指标”、“时效指标”和“成本指标”。</w:t>
      </w:r>
    </w:p>
    <w:p>
      <w:pPr>
        <w:ind w:firstLine="640"/>
        <w:rPr>
          <w:highlight w:val="none"/>
        </w:rPr>
      </w:pPr>
      <w:r>
        <w:rPr>
          <w:rFonts w:hint="eastAsia"/>
          <w:highlight w:val="none"/>
        </w:rPr>
        <w:t>（1）数量指标</w:t>
      </w:r>
    </w:p>
    <w:p>
      <w:pPr>
        <w:ind w:firstLine="640"/>
        <w:rPr>
          <w:highlight w:val="none"/>
        </w:rPr>
      </w:pPr>
    </w:p>
    <w:p>
      <w:pPr>
        <w:ind w:firstLine="640"/>
        <w:rPr>
          <w:highlight w:val="none"/>
        </w:rPr>
      </w:pPr>
      <w:r>
        <w:rPr>
          <w:rFonts w:hint="eastAsia"/>
          <w:highlight w:val="none"/>
        </w:rPr>
        <w:t>“数量指标”下设二个三级指标“举办消防安全知识讲座”及“检修灭火器材”。</w:t>
      </w:r>
    </w:p>
    <w:p>
      <w:pPr>
        <w:ind w:firstLine="640"/>
        <w:rPr>
          <w:highlight w:val="none"/>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日，举办消防安全知识讲座</w:t>
      </w:r>
      <w:r>
        <w:rPr>
          <w:rFonts w:hint="eastAsia"/>
          <w:highlight w:val="none"/>
          <w:lang w:eastAsia="zh-CN"/>
        </w:rPr>
        <w:t>三次</w:t>
      </w:r>
      <w:r>
        <w:rPr>
          <w:rFonts w:hint="eastAsia"/>
          <w:highlight w:val="none"/>
        </w:rPr>
        <w:t>完成率为1</w:t>
      </w:r>
      <w:r>
        <w:rPr>
          <w:highlight w:val="none"/>
        </w:rPr>
        <w:t>00</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；检修灭火器材</w:t>
      </w:r>
      <w:r>
        <w:rPr>
          <w:rFonts w:hint="eastAsia"/>
          <w:highlight w:val="none"/>
          <w:lang w:val="en-US" w:eastAsia="zh-CN"/>
        </w:rPr>
        <w:t>220个</w:t>
      </w:r>
      <w:r>
        <w:rPr>
          <w:rFonts w:hint="eastAsia"/>
          <w:highlight w:val="none"/>
        </w:rPr>
        <w:t>完成率为</w:t>
      </w:r>
      <w:r>
        <w:rPr>
          <w:rFonts w:hint="eastAsia"/>
          <w:highlight w:val="none"/>
          <w:lang w:val="en-US" w:eastAsia="zh-CN"/>
        </w:rPr>
        <w:t>10</w:t>
      </w:r>
      <w:r>
        <w:rPr>
          <w:rFonts w:hint="eastAsia"/>
          <w:highlight w:val="none"/>
        </w:rPr>
        <w:t>0%，该指标标准分值</w:t>
      </w:r>
      <w:r>
        <w:rPr>
          <w:rFonts w:hint="eastAsia"/>
          <w:highlight w:val="none"/>
          <w:lang w:val="en-US" w:eastAsia="zh-CN"/>
        </w:rPr>
        <w:t>10</w:t>
      </w:r>
      <w:r>
        <w:rPr>
          <w:highlight w:val="none"/>
        </w:rPr>
        <w:t>分，得</w:t>
      </w:r>
      <w:r>
        <w:rPr>
          <w:rFonts w:hint="eastAsia"/>
          <w:highlight w:val="none"/>
          <w:lang w:val="en-US" w:eastAsia="zh-CN"/>
        </w:rPr>
        <w:t>1</w:t>
      </w:r>
      <w:r>
        <w:rPr>
          <w:highlight w:val="none"/>
        </w:rPr>
        <w:t>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20</w:t>
      </w:r>
      <w:r>
        <w:rPr>
          <w:highlight w:val="none"/>
        </w:rPr>
        <w:t>分。</w:t>
      </w:r>
    </w:p>
    <w:p>
      <w:pPr>
        <w:ind w:firstLine="640"/>
        <w:rPr>
          <w:highlight w:val="none"/>
        </w:rPr>
      </w:pPr>
      <w:r>
        <w:rPr>
          <w:rFonts w:hint="eastAsia"/>
          <w:highlight w:val="none"/>
        </w:rPr>
        <w:t>（2）质量指标</w:t>
      </w:r>
    </w:p>
    <w:p>
      <w:pPr>
        <w:ind w:left="0" w:leftChars="0" w:firstLine="640" w:firstLineChars="200"/>
        <w:rPr>
          <w:highlight w:val="none"/>
        </w:rPr>
      </w:pPr>
      <w:r>
        <w:rPr>
          <w:rFonts w:hint="eastAsia"/>
          <w:highlight w:val="none"/>
        </w:rPr>
        <w:t>“质量指标”下设</w:t>
      </w:r>
      <w:r>
        <w:rPr>
          <w:rFonts w:hint="eastAsia"/>
          <w:highlight w:val="none"/>
          <w:lang w:eastAsia="zh-CN"/>
        </w:rPr>
        <w:t>一</w:t>
      </w:r>
      <w:r>
        <w:rPr>
          <w:rFonts w:hint="eastAsia"/>
          <w:highlight w:val="none"/>
        </w:rPr>
        <w:t>个三级指标“安全事故发生次数”。</w:t>
      </w:r>
    </w:p>
    <w:p>
      <w:pPr>
        <w:ind w:firstLine="640"/>
        <w:rPr>
          <w:highlight w:val="none"/>
        </w:rPr>
      </w:pPr>
      <w:r>
        <w:rPr>
          <w:rFonts w:hint="eastAsia"/>
          <w:highlight w:val="none"/>
        </w:rPr>
        <w:t>根据指标要求，</w:t>
      </w:r>
      <w:r>
        <w:rPr>
          <w:rFonts w:hint="eastAsia"/>
          <w:highlight w:val="none"/>
          <w:lang w:val="en-US" w:eastAsia="zh-CN"/>
        </w:rPr>
        <w:t>2021年市场</w:t>
      </w:r>
      <w:r>
        <w:rPr>
          <w:rFonts w:hint="eastAsia"/>
          <w:highlight w:val="none"/>
          <w:lang w:eastAsia="zh-CN"/>
        </w:rPr>
        <w:t>没有发生</w:t>
      </w:r>
      <w:r>
        <w:rPr>
          <w:rFonts w:hint="eastAsia"/>
          <w:highlight w:val="none"/>
        </w:rPr>
        <w:t>安全事故发生，该项指标标准分值为1</w:t>
      </w:r>
      <w:r>
        <w:rPr>
          <w:highlight w:val="none"/>
        </w:rPr>
        <w:t>0</w:t>
      </w:r>
      <w:r>
        <w:rPr>
          <w:rFonts w:hint="eastAsia"/>
          <w:highlight w:val="none"/>
        </w:rPr>
        <w:t>分，得分为1</w:t>
      </w:r>
      <w:r>
        <w:rPr>
          <w:highlight w:val="none"/>
        </w:rPr>
        <w:t>0</w:t>
      </w:r>
      <w:r>
        <w:rPr>
          <w:rFonts w:hint="eastAsia"/>
          <w:highlight w:val="none"/>
        </w:rPr>
        <w:t>分。</w:t>
      </w:r>
    </w:p>
    <w:p>
      <w:pPr>
        <w:ind w:firstLine="640"/>
        <w:rPr>
          <w:highlight w:val="none"/>
        </w:rPr>
      </w:pPr>
      <w:r>
        <w:rPr>
          <w:rFonts w:hint="eastAsia"/>
          <w:highlight w:val="none"/>
        </w:rPr>
        <w:t>综上所述，根据评分标准，质量指标实际得</w:t>
      </w:r>
      <w:r>
        <w:rPr>
          <w:highlight w:val="none"/>
        </w:rPr>
        <w:t>10分。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时效指标以项目完成情况编写，示例如下：</w:t>
      </w:r>
    </w:p>
    <w:p>
      <w:pPr>
        <w:ind w:firstLine="640"/>
        <w:rPr>
          <w:highlight w:val="none"/>
        </w:rPr>
      </w:pPr>
      <w:r>
        <w:rPr>
          <w:rFonts w:hint="eastAsia"/>
          <w:highlight w:val="none"/>
        </w:rPr>
        <w:t>“时效指标”下设一个三级指标“项目执行时间”。</w:t>
      </w:r>
    </w:p>
    <w:p>
      <w:pPr>
        <w:ind w:firstLine="640"/>
        <w:rPr>
          <w:highlight w:val="none"/>
        </w:rPr>
      </w:pPr>
      <w:r>
        <w:rPr>
          <w:rFonts w:hint="eastAsia"/>
          <w:highlight w:val="none"/>
        </w:rPr>
        <w:t>根据指标要求，</w:t>
      </w:r>
      <w:bookmarkStart w:id="49" w:name="_Hlk79160389"/>
      <w:r>
        <w:rPr>
          <w:rFonts w:hint="eastAsia"/>
          <w:highlight w:val="none"/>
        </w:rPr>
        <w:t>项目执行时间</w:t>
      </w:r>
      <w:r>
        <w:rPr>
          <w:rFonts w:hint="eastAsia"/>
          <w:highlight w:val="none"/>
          <w:lang w:val="en-US" w:eastAsia="zh-CN"/>
        </w:rPr>
        <w:t>1年</w:t>
      </w:r>
      <w:r>
        <w:rPr>
          <w:rFonts w:hint="eastAsia"/>
          <w:highlight w:val="none"/>
        </w:rPr>
        <w:t>，该指标标准分值为</w:t>
      </w:r>
      <w:r>
        <w:rPr>
          <w:rFonts w:hint="eastAsia"/>
          <w:highlight w:val="none"/>
          <w:lang w:val="en-US" w:eastAsia="zh-CN"/>
        </w:rPr>
        <w:t>10</w:t>
      </w:r>
      <w:r>
        <w:rPr>
          <w:highlight w:val="none"/>
        </w:rPr>
        <w:t>分，得分为</w:t>
      </w:r>
      <w:r>
        <w:rPr>
          <w:rFonts w:hint="eastAsia"/>
          <w:highlight w:val="none"/>
          <w:lang w:val="en-US" w:eastAsia="zh-CN"/>
        </w:rPr>
        <w:t>1</w:t>
      </w:r>
      <w:r>
        <w:rPr>
          <w:highlight w:val="none"/>
        </w:rPr>
        <w:t>0分</w:t>
      </w:r>
      <w:r>
        <w:rPr>
          <w:rFonts w:hint="eastAsia"/>
          <w:highlight w:val="none"/>
        </w:rPr>
        <w:t>。</w:t>
      </w:r>
    </w:p>
    <w:bookmarkEnd w:id="49"/>
    <w:p>
      <w:pPr>
        <w:ind w:firstLine="640"/>
        <w:rPr>
          <w:highlight w:val="none"/>
        </w:rPr>
      </w:pPr>
      <w:r>
        <w:rPr>
          <w:rFonts w:hint="eastAsia"/>
          <w:highlight w:val="none"/>
        </w:rPr>
        <w:t>（4）成本指标</w:t>
      </w:r>
    </w:p>
    <w:p>
      <w:pPr>
        <w:ind w:firstLine="640"/>
        <w:rPr>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120</w:t>
      </w:r>
      <w:r>
        <w:rPr>
          <w:rFonts w:hint="eastAsia"/>
          <w:highlight w:val="none"/>
        </w:rPr>
        <w:t>万元，实际支出</w:t>
      </w:r>
      <w:r>
        <w:rPr>
          <w:rFonts w:hint="eastAsia"/>
          <w:highlight w:val="none"/>
          <w:lang w:val="en-US" w:eastAsia="zh-CN"/>
        </w:rPr>
        <w:t>120</w:t>
      </w:r>
      <w:r>
        <w:rPr>
          <w:highlight w:val="none"/>
        </w:rPr>
        <w:t>万元</w:t>
      </w:r>
      <w:r>
        <w:rPr>
          <w:rFonts w:hint="eastAsia"/>
          <w:highlight w:val="none"/>
        </w:rPr>
        <w:t>，未超出预算批复金额，因此该项指标标准分值</w:t>
      </w:r>
      <w:r>
        <w:rPr>
          <w:highlight w:val="none"/>
        </w:rPr>
        <w:t>1</w:t>
      </w:r>
      <w:r>
        <w:rPr>
          <w:rFonts w:hint="eastAsia"/>
          <w:highlight w:val="none"/>
          <w:lang w:val="en-US" w:eastAsia="zh-CN"/>
        </w:rPr>
        <w:t>0</w:t>
      </w:r>
      <w:r>
        <w:rPr>
          <w:rFonts w:hint="eastAsia"/>
          <w:highlight w:val="none"/>
        </w:rPr>
        <w:t>分，得</w:t>
      </w:r>
      <w:r>
        <w:rPr>
          <w:highlight w:val="none"/>
        </w:rPr>
        <w:t>1</w:t>
      </w:r>
      <w:r>
        <w:rPr>
          <w:rFonts w:hint="eastAsia"/>
          <w:highlight w:val="none"/>
          <w:lang w:val="en-US" w:eastAsia="zh-CN"/>
        </w:rPr>
        <w:t>0</w:t>
      </w:r>
      <w:r>
        <w:rPr>
          <w:rFonts w:hint="eastAsia"/>
          <w:highlight w:val="none"/>
        </w:rPr>
        <w:t>分。</w:t>
      </w:r>
    </w:p>
    <w:p>
      <w:pPr>
        <w:pStyle w:val="4"/>
        <w:ind w:firstLine="643"/>
        <w:rPr>
          <w:highlight w:val="none"/>
        </w:rPr>
      </w:pPr>
      <w:bookmarkStart w:id="50" w:name="_Toc79333448"/>
      <w:r>
        <w:rPr>
          <w:highlight w:val="none"/>
        </w:rPr>
        <w:t>3、效益指标分析</w:t>
      </w:r>
      <w:bookmarkEnd w:id="50"/>
    </w:p>
    <w:p>
      <w:pPr>
        <w:ind w:firstLine="640"/>
        <w:rPr>
          <w:rFonts w:hint="eastAsia" w:eastAsia="仿宋"/>
          <w:highlight w:val="none"/>
          <w:lang w:eastAsia="zh-CN"/>
        </w:rPr>
      </w:pPr>
      <w:r>
        <w:rPr>
          <w:rFonts w:hint="eastAsia"/>
          <w:highlight w:val="none"/>
        </w:rPr>
        <w:t>“效益指标”下设</w:t>
      </w:r>
      <w:r>
        <w:rPr>
          <w:rFonts w:hint="eastAsia"/>
          <w:highlight w:val="none"/>
          <w:lang w:eastAsia="zh-CN"/>
        </w:rPr>
        <w:t>三</w:t>
      </w:r>
      <w:r>
        <w:rPr>
          <w:rFonts w:hint="eastAsia"/>
          <w:highlight w:val="none"/>
        </w:rPr>
        <w:t>个二级指标，分别为“社会效益”、“可持续影响”</w:t>
      </w:r>
      <w:r>
        <w:rPr>
          <w:rFonts w:hint="eastAsia"/>
          <w:highlight w:val="none"/>
          <w:lang w:eastAsia="zh-CN"/>
        </w:rPr>
        <w:t>和“经济效益”</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“社会效益”下设三级指标“改善农贸市场购物环境”。</w:t>
      </w:r>
    </w:p>
    <w:p>
      <w:pPr>
        <w:ind w:firstLine="640"/>
        <w:rPr>
          <w:rFonts w:hint="eastAsia"/>
          <w:highlight w:val="none"/>
        </w:rPr>
      </w:pPr>
      <w:r>
        <w:rPr>
          <w:rFonts w:hint="eastAsia"/>
          <w:highlight w:val="none"/>
          <w:lang w:eastAsia="zh-CN"/>
        </w:rPr>
        <w:t>该项目改善了农贸市场购物环境，</w:t>
      </w:r>
      <w:r>
        <w:rPr>
          <w:rFonts w:hint="eastAsia"/>
          <w:highlight w:val="none"/>
        </w:rPr>
        <w:t>该指标标准分值为</w:t>
      </w:r>
      <w:r>
        <w:rPr>
          <w:highlight w:val="none"/>
        </w:rPr>
        <w:t>1</w:t>
      </w:r>
      <w:r>
        <w:rPr>
          <w:rFonts w:hint="eastAsia"/>
          <w:highlight w:val="none"/>
          <w:lang w:val="en-US" w:eastAsia="zh-CN"/>
        </w:rPr>
        <w:t>0</w:t>
      </w:r>
      <w:r>
        <w:rPr>
          <w:rFonts w:hint="eastAsia"/>
          <w:highlight w:val="none"/>
        </w:rPr>
        <w:t>分，实际综合得分为</w:t>
      </w:r>
      <w:r>
        <w:rPr>
          <w:rFonts w:hint="eastAsia"/>
          <w:highlight w:val="none"/>
          <w:lang w:val="en-US" w:eastAsia="zh-CN"/>
        </w:rPr>
        <w:t>1</w:t>
      </w:r>
      <w:r>
        <w:rPr>
          <w:highlight w:val="none"/>
        </w:rPr>
        <w:t>0</w:t>
      </w:r>
      <w:r>
        <w:rPr>
          <w:rFonts w:hint="eastAsia"/>
          <w:highlight w:val="none"/>
        </w:rPr>
        <w:t>分。</w:t>
      </w:r>
    </w:p>
    <w:p>
      <w:pPr>
        <w:ind w:firstLine="640"/>
        <w:rPr>
          <w:rFonts w:hint="eastAsia"/>
          <w:highlight w:val="none"/>
        </w:rPr>
      </w:pP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highlight w:val="none"/>
        </w:rPr>
      </w:pPr>
      <w:r>
        <w:rPr>
          <w:rFonts w:hint="eastAsia"/>
          <w:highlight w:val="none"/>
        </w:rPr>
        <w:t>“可持续影响”下设三级指标“市场经济可持续发展”。</w:t>
      </w:r>
    </w:p>
    <w:p>
      <w:pPr>
        <w:ind w:firstLine="640"/>
        <w:rPr>
          <w:rFonts w:hint="eastAsia"/>
          <w:highlight w:val="none"/>
        </w:rPr>
      </w:pPr>
      <w:r>
        <w:rPr>
          <w:rFonts w:hint="eastAsia"/>
          <w:highlight w:val="none"/>
          <w:lang w:eastAsia="zh-CN"/>
        </w:rPr>
        <w:t>该项目对市场经济</w:t>
      </w:r>
      <w:r>
        <w:rPr>
          <w:rFonts w:hint="eastAsia"/>
          <w:highlight w:val="none"/>
        </w:rPr>
        <w:t>具有可持续影响效益，该指标标准分值为</w:t>
      </w:r>
      <w:r>
        <w:rPr>
          <w:highlight w:val="none"/>
        </w:rPr>
        <w:t>1</w:t>
      </w:r>
      <w:r>
        <w:rPr>
          <w:rFonts w:hint="eastAsia"/>
          <w:highlight w:val="none"/>
          <w:lang w:val="en-US" w:eastAsia="zh-CN"/>
        </w:rPr>
        <w:t>0</w:t>
      </w:r>
      <w:r>
        <w:rPr>
          <w:rFonts w:hint="eastAsia"/>
          <w:highlight w:val="none"/>
        </w:rPr>
        <w:t>分，实际综合得分为</w:t>
      </w:r>
      <w:r>
        <w:rPr>
          <w:rFonts w:hint="eastAsia"/>
          <w:highlight w:val="none"/>
          <w:lang w:val="en-US" w:eastAsia="zh-CN"/>
        </w:rPr>
        <w:t>1</w:t>
      </w:r>
      <w:r>
        <w:rPr>
          <w:highlight w:val="none"/>
        </w:rPr>
        <w:t>0</w:t>
      </w:r>
      <w:r>
        <w:rPr>
          <w:rFonts w:hint="eastAsia"/>
          <w:highlight w:val="none"/>
        </w:rPr>
        <w:t>分。</w:t>
      </w:r>
    </w:p>
    <w:p>
      <w:pPr>
        <w:numPr>
          <w:ilvl w:val="0"/>
          <w:numId w:val="2"/>
        </w:numPr>
        <w:ind w:firstLine="640"/>
        <w:rPr>
          <w:rFonts w:hint="eastAsia"/>
          <w:highlight w:val="none"/>
          <w:lang w:eastAsia="zh-CN"/>
        </w:rPr>
      </w:pPr>
      <w:r>
        <w:rPr>
          <w:rFonts w:hint="eastAsia"/>
          <w:highlight w:val="none"/>
          <w:lang w:eastAsia="zh-CN"/>
        </w:rPr>
        <w:t>经济效益</w:t>
      </w:r>
    </w:p>
    <w:p>
      <w:pPr>
        <w:numPr>
          <w:ilvl w:val="0"/>
          <w:numId w:val="0"/>
        </w:numPr>
        <w:rPr>
          <w:rFonts w:hint="default"/>
          <w:highlight w:val="none"/>
          <w:lang w:val="en-US" w:eastAsia="zh-CN"/>
        </w:rPr>
      </w:pPr>
      <w:r>
        <w:rPr>
          <w:rFonts w:hint="eastAsia"/>
          <w:highlight w:val="none"/>
          <w:lang w:val="en-US" w:eastAsia="zh-CN"/>
        </w:rPr>
        <w:t xml:space="preserve">       “经济效益”下设指标“促进农贸市场稳定健康发展”，该项目促进农贸市场稳定健康发展，该指标标准分值为10分，实际综合得分为10分。</w:t>
      </w:r>
    </w:p>
    <w:p>
      <w:pPr>
        <w:pStyle w:val="4"/>
        <w:ind w:firstLine="643"/>
        <w:rPr>
          <w:highlight w:val="none"/>
        </w:rPr>
      </w:pPr>
      <w:bookmarkStart w:id="51" w:name="_Toc79333449"/>
      <w:r>
        <w:rPr>
          <w:highlight w:val="none"/>
        </w:rPr>
        <w:t>4、满意度指标分析</w:t>
      </w:r>
      <w:bookmarkEnd w:id="51"/>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标准分值10分，得分为</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14:textFill>
            <w14:solidFill>
              <w14:schemeClr w14:val="tx1"/>
            </w14:solidFill>
          </w14:textFill>
        </w:rPr>
        <w:t>分。</w:t>
      </w:r>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本项目调查</w:t>
      </w:r>
      <w:r>
        <w:rPr>
          <w:rFonts w:hint="eastAsia"/>
          <w:color w:val="000000" w:themeColor="text1"/>
          <w:highlight w:val="none"/>
          <w:lang w:val="en-US" w:eastAsia="zh-CN"/>
          <w14:textFill>
            <w14:solidFill>
              <w14:schemeClr w14:val="tx1"/>
            </w14:solidFill>
          </w14:textFill>
        </w:rPr>
        <w:t>群众</w:t>
      </w:r>
      <w:r>
        <w:rPr>
          <w:rFonts w:hint="eastAsia"/>
          <w:color w:val="000000" w:themeColor="text1"/>
          <w:highlight w:val="none"/>
          <w14:textFill>
            <w14:solidFill>
              <w14:schemeClr w14:val="tx1"/>
            </w14:solidFill>
          </w14:textFill>
        </w:rPr>
        <w:t>，发放调查问卷</w:t>
      </w:r>
      <w:r>
        <w:rPr>
          <w:rFonts w:hint="eastAsia"/>
          <w:color w:val="000000" w:themeColor="text1"/>
          <w:highlight w:val="none"/>
          <w:lang w:val="en-US" w:eastAsia="zh-CN"/>
          <w14:textFill>
            <w14:solidFill>
              <w14:schemeClr w14:val="tx1"/>
            </w14:solidFill>
          </w14:textFill>
        </w:rPr>
        <w:t>20</w:t>
      </w:r>
      <w:r>
        <w:rPr>
          <w:rFonts w:hint="eastAsia"/>
          <w:color w:val="000000" w:themeColor="text1"/>
          <w:highlight w:val="none"/>
          <w14:textFill>
            <w14:solidFill>
              <w14:schemeClr w14:val="tx1"/>
            </w14:solidFill>
          </w14:textFill>
        </w:rPr>
        <w:t>份，回收</w:t>
      </w:r>
      <w:r>
        <w:rPr>
          <w:rFonts w:hint="eastAsia"/>
          <w:color w:val="000000" w:themeColor="text1"/>
          <w:highlight w:val="none"/>
          <w:lang w:val="en-US" w:eastAsia="zh-CN"/>
          <w14:textFill>
            <w14:solidFill>
              <w14:schemeClr w14:val="tx1"/>
            </w14:solidFill>
          </w14:textFill>
        </w:rPr>
        <w:t>20</w:t>
      </w:r>
      <w:r>
        <w:rPr>
          <w:rFonts w:hint="eastAsia"/>
          <w:color w:val="000000" w:themeColor="text1"/>
          <w:highlight w:val="none"/>
          <w14:textFill>
            <w14:solidFill>
              <w14:schemeClr w14:val="tx1"/>
            </w14:solidFill>
          </w14:textFill>
        </w:rPr>
        <w:t>份，其中有效问卷</w:t>
      </w:r>
      <w:r>
        <w:rPr>
          <w:rFonts w:hint="eastAsia"/>
          <w:color w:val="000000" w:themeColor="text1"/>
          <w:highlight w:val="none"/>
          <w:lang w:val="en-US" w:eastAsia="zh-CN"/>
          <w14:textFill>
            <w14:solidFill>
              <w14:schemeClr w14:val="tx1"/>
            </w14:solidFill>
          </w14:textFill>
        </w:rPr>
        <w:t>20</w:t>
      </w:r>
      <w:r>
        <w:rPr>
          <w:rFonts w:hint="eastAsia"/>
          <w:color w:val="000000" w:themeColor="text1"/>
          <w:highlight w:val="none"/>
          <w14:textFill>
            <w14:solidFill>
              <w14:schemeClr w14:val="tx1"/>
            </w14:solidFill>
          </w14:textFill>
        </w:rPr>
        <w:t>份。其中满意人数</w:t>
      </w:r>
      <w:r>
        <w:rPr>
          <w:rFonts w:hint="eastAsia"/>
          <w:color w:val="000000" w:themeColor="text1"/>
          <w:highlight w:val="none"/>
          <w:lang w:val="en-US" w:eastAsia="zh-CN"/>
          <w14:textFill>
            <w14:solidFill>
              <w14:schemeClr w14:val="tx1"/>
            </w14:solidFill>
          </w14:textFill>
        </w:rPr>
        <w:t>16</w:t>
      </w:r>
      <w:r>
        <w:rPr>
          <w:rFonts w:hint="eastAsia"/>
          <w:color w:val="000000" w:themeColor="text1"/>
          <w:highlight w:val="none"/>
          <w14:textFill>
            <w14:solidFill>
              <w14:schemeClr w14:val="tx1"/>
            </w14:solidFill>
          </w14:textFill>
        </w:rPr>
        <w:t>人，不满意</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人，综合满意度为</w:t>
      </w:r>
      <w:r>
        <w:rPr>
          <w:rFonts w:hint="eastAsia"/>
          <w:color w:val="000000" w:themeColor="text1"/>
          <w:highlight w:val="none"/>
          <w:lang w:val="en-US" w:eastAsia="zh-CN"/>
          <w14:textFill>
            <w14:solidFill>
              <w14:schemeClr w14:val="tx1"/>
            </w14:solidFill>
          </w14:textFill>
        </w:rPr>
        <w:t>80</w:t>
      </w:r>
      <w:r>
        <w:rPr>
          <w:rFonts w:hint="eastAsia"/>
          <w:color w:val="000000" w:themeColor="text1"/>
          <w:highlight w:val="none"/>
          <w14:textFill>
            <w14:solidFill>
              <w14:schemeClr w14:val="tx1"/>
            </w14:solidFill>
          </w14:textFill>
        </w:rPr>
        <w:t>%，根据评分标准，该项指标标准分值1</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分，得分为</w:t>
      </w:r>
      <w:r>
        <w:rPr>
          <w:rFonts w:hint="eastAsia"/>
          <w:color w:val="000000" w:themeColor="text1"/>
          <w:highlight w:val="none"/>
          <w:lang w:val="en-US" w:eastAsia="zh-CN"/>
          <w14:textFill>
            <w14:solidFill>
              <w14:schemeClr w14:val="tx1"/>
            </w14:solidFill>
          </w14:textFill>
        </w:rPr>
        <w:t>8</w:t>
      </w:r>
      <w:r>
        <w:rPr>
          <w:rFonts w:hint="eastAsia"/>
          <w:color w:val="000000" w:themeColor="text1"/>
          <w:highlight w:val="none"/>
          <w14:textFill>
            <w14:solidFill>
              <w14:schemeClr w14:val="tx1"/>
            </w14:solidFill>
          </w14:textFill>
        </w:rPr>
        <w:t>分。</w:t>
      </w:r>
    </w:p>
    <w:p>
      <w:pPr>
        <w:ind w:firstLine="640"/>
        <w:rPr>
          <w:highlight w:val="none"/>
        </w:rPr>
      </w:pPr>
    </w:p>
    <w:p>
      <w:pPr>
        <w:pStyle w:val="2"/>
        <w:rPr>
          <w:highlight w:val="none"/>
        </w:rPr>
      </w:pPr>
      <w:bookmarkStart w:id="52" w:name="_Toc79333450"/>
      <w:bookmarkStart w:id="53" w:name="_Toc1809"/>
      <w:bookmarkStart w:id="54" w:name="_Toc29830"/>
      <w:r>
        <w:rPr>
          <w:rFonts w:hint="eastAsia"/>
          <w:highlight w:val="none"/>
        </w:rPr>
        <w:t>四、成果和问题</w:t>
      </w:r>
      <w:bookmarkEnd w:id="52"/>
      <w:bookmarkEnd w:id="53"/>
      <w:bookmarkEnd w:id="54"/>
    </w:p>
    <w:p>
      <w:pPr>
        <w:pStyle w:val="3"/>
        <w:rPr>
          <w:rFonts w:hint="eastAsia"/>
          <w:highlight w:val="none"/>
        </w:rPr>
      </w:pPr>
      <w:bookmarkStart w:id="55" w:name="_Toc79333451"/>
      <w:bookmarkStart w:id="56" w:name="_Toc30565"/>
      <w:r>
        <w:rPr>
          <w:rFonts w:hint="eastAsia"/>
          <w:highlight w:val="none"/>
        </w:rPr>
        <w:t>（一）项目实施的成果</w:t>
      </w:r>
      <w:bookmarkEnd w:id="55"/>
      <w:bookmarkEnd w:id="56"/>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color w:val="333333"/>
          <w:kern w:val="0"/>
          <w:sz w:val="32"/>
          <w:szCs w:val="32"/>
          <w:highlight w:val="none"/>
          <w:lang w:val="en-US" w:eastAsia="zh-CN"/>
        </w:rPr>
        <w:t>1、</w:t>
      </w:r>
      <w:r>
        <w:rPr>
          <w:rFonts w:hint="eastAsia" w:ascii="仿宋" w:hAnsi="仿宋" w:eastAsia="仿宋" w:cs="仿宋"/>
          <w:color w:val="333333"/>
          <w:kern w:val="0"/>
          <w:sz w:val="32"/>
          <w:szCs w:val="32"/>
          <w:highlight w:val="none"/>
          <w:lang w:eastAsia="zh-CN"/>
        </w:rPr>
        <w:t>加强西瓜市场管理。</w:t>
      </w:r>
      <w:r>
        <w:rPr>
          <w:rFonts w:hint="eastAsia" w:ascii="仿宋" w:hAnsi="仿宋" w:eastAsia="仿宋" w:cs="仿宋"/>
          <w:sz w:val="32"/>
          <w:szCs w:val="32"/>
          <w:highlight w:val="none"/>
          <w:lang w:val="en-US" w:eastAsia="zh-CN"/>
        </w:rPr>
        <w:t>确保了西瓜交易期间道路畅通，服务了瓜商瓜农，较好地解决了群众卖瓜难、出行难问题。</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color w:val="333333"/>
          <w:kern w:val="0"/>
          <w:sz w:val="32"/>
          <w:szCs w:val="32"/>
          <w:highlight w:val="none"/>
          <w:lang w:val="en-US" w:eastAsia="zh-CN"/>
        </w:rPr>
        <w:t>2、</w:t>
      </w:r>
      <w:r>
        <w:rPr>
          <w:rFonts w:hint="eastAsia" w:ascii="仿宋" w:hAnsi="仿宋" w:eastAsia="仿宋" w:cs="仿宋"/>
          <w:sz w:val="32"/>
          <w:szCs w:val="32"/>
          <w:highlight w:val="none"/>
          <w:lang w:val="en-US" w:eastAsia="zh-CN"/>
        </w:rPr>
        <w:t>搞好管理服务，促进第一农贸市场稳定健康发展。</w:t>
      </w:r>
    </w:p>
    <w:p>
      <w:pPr>
        <w:keepNext w:val="0"/>
        <w:keepLines w:val="0"/>
        <w:pageBreakBefore w:val="0"/>
        <w:widowControl w:val="0"/>
        <w:numPr>
          <w:ilvl w:val="0"/>
          <w:numId w:val="0"/>
        </w:numPr>
        <w:tabs>
          <w:tab w:val="left" w:pos="606"/>
        </w:tabs>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3、强化管理措施，确保商贸大世界安全运营。</w:t>
      </w:r>
    </w:p>
    <w:p>
      <w:pPr>
        <w:pStyle w:val="4"/>
        <w:rPr>
          <w:highlight w:val="none"/>
        </w:rPr>
      </w:pPr>
    </w:p>
    <w:p>
      <w:pPr>
        <w:pStyle w:val="3"/>
        <w:rPr>
          <w:highlight w:val="none"/>
        </w:rPr>
      </w:pPr>
      <w:bookmarkStart w:id="57" w:name="_Toc79333452"/>
      <w:bookmarkStart w:id="58" w:name="_Toc30691"/>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rPr>
          <w:highlight w:val="none"/>
        </w:rPr>
      </w:pPr>
      <w:bookmarkStart w:id="59" w:name="_Toc27227"/>
      <w:bookmarkStart w:id="60" w:name="_Toc79333453"/>
      <w:bookmarkStart w:id="61" w:name="_Toc6382"/>
      <w:r>
        <w:rPr>
          <w:rFonts w:hint="eastAsia"/>
          <w:highlight w:val="none"/>
        </w:rPr>
        <w:t>五、建议</w:t>
      </w:r>
      <w:bookmarkEnd w:id="59"/>
      <w:bookmarkEnd w:id="60"/>
      <w:bookmarkEnd w:id="61"/>
    </w:p>
    <w:p>
      <w:pPr>
        <w:pStyle w:val="3"/>
        <w:rPr>
          <w:highlight w:val="none"/>
        </w:rPr>
      </w:pPr>
      <w:bookmarkStart w:id="62" w:name="_Toc79333454"/>
      <w:bookmarkStart w:id="63" w:name="_Toc18797"/>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64" w:name="_Toc19326"/>
      <w:bookmarkStart w:id="65" w:name="_Toc79333455"/>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2"/>
        <w:rPr>
          <w:highlight w:val="none"/>
        </w:rPr>
      </w:pPr>
      <w:bookmarkStart w:id="66" w:name="_Toc6061"/>
      <w:bookmarkStart w:id="67" w:name="_Toc665"/>
      <w:bookmarkStart w:id="68" w:name="_Toc79333457"/>
      <w:r>
        <w:rPr>
          <w:rFonts w:hint="eastAsia"/>
          <w:highlight w:val="none"/>
        </w:rPr>
        <w:t>六、其他需要说明的问题</w:t>
      </w:r>
      <w:bookmarkEnd w:id="66"/>
      <w:bookmarkEnd w:id="67"/>
      <w:bookmarkEnd w:id="68"/>
    </w:p>
    <w:p>
      <w:pPr>
        <w:ind w:firstLine="640"/>
        <w:rPr>
          <w:highlight w:val="none"/>
        </w:rPr>
      </w:pPr>
      <w:r>
        <w:rPr>
          <w:rFonts w:hint="eastAsia"/>
          <w:highlight w:val="none"/>
        </w:rPr>
        <w:t>无</w:t>
      </w:r>
    </w:p>
    <w:p>
      <w:pPr>
        <w:pStyle w:val="2"/>
        <w:rPr>
          <w:highlight w:val="none"/>
        </w:rPr>
      </w:pPr>
      <w:bookmarkStart w:id="69" w:name="_Toc3394"/>
      <w:bookmarkStart w:id="70" w:name="_Toc79333458"/>
      <w:bookmarkStart w:id="71" w:name="_Toc62030119"/>
      <w:bookmarkStart w:id="72" w:name="_Toc61882435"/>
      <w:bookmarkStart w:id="73" w:name="_Toc75871379"/>
      <w:r>
        <w:rPr>
          <w:rFonts w:hint="eastAsia"/>
          <w:highlight w:val="none"/>
        </w:rPr>
        <w:t>七、附件</w:t>
      </w:r>
      <w:bookmarkEnd w:id="69"/>
      <w:bookmarkEnd w:id="70"/>
      <w:bookmarkEnd w:id="71"/>
      <w:bookmarkEnd w:id="72"/>
      <w:bookmarkEnd w:id="73"/>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3"/>
      </w:pPr>
      <w:bookmarkStart w:id="74" w:name="_Toc75871380"/>
      <w:bookmarkStart w:id="75" w:name="_Toc79333459"/>
      <w:bookmarkStart w:id="76" w:name="_Toc62030120"/>
      <w:bookmarkStart w:id="77" w:name="_Toc61882642"/>
      <w:bookmarkStart w:id="78" w:name="_Toc8706"/>
      <w:r>
        <w:rPr>
          <w:rFonts w:hint="eastAsia"/>
        </w:rPr>
        <w:t>附件一：项目绩效自评表</w:t>
      </w:r>
      <w:bookmarkEnd w:id="74"/>
      <w:bookmarkEnd w:id="75"/>
      <w:bookmarkEnd w:id="76"/>
      <w:bookmarkEnd w:id="77"/>
      <w:bookmarkEnd w:id="78"/>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C2DEB8"/>
    <w:multiLevelType w:val="singleLevel"/>
    <w:tmpl w:val="9CC2DEB8"/>
    <w:lvl w:ilvl="0" w:tentative="0">
      <w:start w:val="3"/>
      <w:numFmt w:val="decimal"/>
      <w:suff w:val="nothing"/>
      <w:lvlText w:val="（%1）"/>
      <w:lvlJc w:val="left"/>
    </w:lvl>
  </w:abstractNum>
  <w:abstractNum w:abstractNumId="1">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5NDA0YzI1NmI0NDY4YjJjOTllMjFmZDY4ZDU1MjM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EE02FCE"/>
    <w:rsid w:val="11D14067"/>
    <w:rsid w:val="17CA756C"/>
    <w:rsid w:val="1B002515"/>
    <w:rsid w:val="1BA50EE0"/>
    <w:rsid w:val="1CBF4C66"/>
    <w:rsid w:val="21032E75"/>
    <w:rsid w:val="2449572C"/>
    <w:rsid w:val="2636356A"/>
    <w:rsid w:val="28577A06"/>
    <w:rsid w:val="2A8D770F"/>
    <w:rsid w:val="2AE845D1"/>
    <w:rsid w:val="2BE5376F"/>
    <w:rsid w:val="30FD39D4"/>
    <w:rsid w:val="340A4177"/>
    <w:rsid w:val="34DC5294"/>
    <w:rsid w:val="358D1218"/>
    <w:rsid w:val="360509BD"/>
    <w:rsid w:val="37360FC5"/>
    <w:rsid w:val="390B472B"/>
    <w:rsid w:val="3B080524"/>
    <w:rsid w:val="408C5853"/>
    <w:rsid w:val="441E6300"/>
    <w:rsid w:val="4B401274"/>
    <w:rsid w:val="4E992DD9"/>
    <w:rsid w:val="50C37060"/>
    <w:rsid w:val="533F163E"/>
    <w:rsid w:val="55F834F4"/>
    <w:rsid w:val="5CD42C71"/>
    <w:rsid w:val="611B0B6F"/>
    <w:rsid w:val="63BF54E2"/>
    <w:rsid w:val="65091475"/>
    <w:rsid w:val="65A17FA7"/>
    <w:rsid w:val="666D63A3"/>
    <w:rsid w:val="69312D5B"/>
    <w:rsid w:val="6ABB68E5"/>
    <w:rsid w:val="70493BA2"/>
    <w:rsid w:val="74AD3F2D"/>
    <w:rsid w:val="75BB1238"/>
    <w:rsid w:val="77753743"/>
    <w:rsid w:val="789E7920"/>
    <w:rsid w:val="7A7D20EF"/>
    <w:rsid w:val="7BF3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footnote text"/>
    <w:basedOn w:val="1"/>
    <w:unhideWhenUsed/>
    <w:qFormat/>
    <w:uiPriority w:val="99"/>
    <w:pPr>
      <w:snapToGrid w:val="0"/>
      <w:jc w:val="left"/>
    </w:pPr>
    <w:rPr>
      <w:sz w:val="18"/>
      <w:szCs w:val="18"/>
    </w:rPr>
  </w:style>
  <w:style w:type="paragraph" w:styleId="12">
    <w:name w:val="toc 2"/>
    <w:basedOn w:val="1"/>
    <w:next w:val="1"/>
    <w:unhideWhenUsed/>
    <w:qFormat/>
    <w:uiPriority w:val="39"/>
    <w:pPr>
      <w:ind w:left="420" w:leftChars="200" w:firstLine="0" w:firstLineChars="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3"/>
    <w:qFormat/>
    <w:uiPriority w:val="9"/>
    <w:rPr>
      <w:rFonts w:ascii="楷体" w:hAnsi="楷体" w:eastAsia="楷体" w:cstheme="majorBidi"/>
      <w:b/>
      <w:bCs/>
      <w:kern w:val="2"/>
      <w:sz w:val="32"/>
      <w:szCs w:val="32"/>
    </w:rPr>
  </w:style>
  <w:style w:type="character" w:customStyle="1" w:styleId="19">
    <w:name w:val="页脚 字符"/>
    <w:basedOn w:val="15"/>
    <w:link w:val="8"/>
    <w:qFormat/>
    <w:uiPriority w:val="99"/>
    <w:rPr>
      <w:rFonts w:eastAsia="仿宋"/>
      <w:sz w:val="28"/>
      <w:szCs w:val="28"/>
    </w:rPr>
  </w:style>
  <w:style w:type="character" w:customStyle="1" w:styleId="20">
    <w:name w:val="标题 1 字符"/>
    <w:basedOn w:val="15"/>
    <w:link w:val="2"/>
    <w:qFormat/>
    <w:uiPriority w:val="9"/>
    <w:rPr>
      <w:rFonts w:ascii="黑体" w:hAnsi="黑体" w:eastAsia="黑体"/>
      <w:b/>
      <w:bCs/>
      <w:kern w:val="44"/>
      <w:sz w:val="32"/>
      <w:szCs w:val="32"/>
    </w:rPr>
  </w:style>
  <w:style w:type="character" w:customStyle="1" w:styleId="21">
    <w:name w:val="标题 3 字符"/>
    <w:basedOn w:val="15"/>
    <w:link w:val="4"/>
    <w:qFormat/>
    <w:uiPriority w:val="9"/>
    <w:rPr>
      <w:rFonts w:ascii="宋体" w:hAnsi="宋体" w:eastAsia="仿宋"/>
      <w:b/>
      <w:bCs/>
      <w:kern w:val="2"/>
      <w:sz w:val="32"/>
      <w:szCs w:val="32"/>
    </w:rPr>
  </w:style>
  <w:style w:type="character" w:customStyle="1" w:styleId="22">
    <w:name w:val="标题 4 字符"/>
    <w:basedOn w:val="15"/>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12</Pages>
  <Words>3751</Words>
  <Characters>3931</Characters>
  <Lines>42</Lines>
  <Paragraphs>11</Paragraphs>
  <TotalTime>61</TotalTime>
  <ScaleCrop>false</ScaleCrop>
  <LinksUpToDate>false</LinksUpToDate>
  <CharactersWithSpaces>4196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孔雀东南跑</cp:lastModifiedBy>
  <dcterms:modified xsi:type="dcterms:W3CDTF">2022-08-31T10:45:23Z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8040E5319DF8438F9AF461AC7598704D</vt:lpwstr>
  </property>
</Properties>
</file>