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《</w:t>
      </w: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太康县产业集聚区K-03-03～10地块控制性详细规划</w:t>
      </w:r>
      <w:bookmarkEnd w:id="0"/>
      <w:r>
        <w:rPr>
          <w:rFonts w:hint="eastAsia"/>
          <w:b/>
          <w:bCs/>
          <w:sz w:val="28"/>
          <w:szCs w:val="28"/>
          <w:lang w:eastAsia="zh-CN"/>
        </w:rPr>
        <w:t>》公示稿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规划地块位于太康县产业集聚区迎宾路、纺织路、南环路所围合的区域。规划范围面积为20.13公顷。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本规划用地依据《国土空间调查、规划、用途管制用地用海分类指南》分类，包含二类工业用地（100102）、防护绿地（1402），编码分别为K-03-03、K-03-04。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K-03-03为二类工业用地（100102），面积为16.54公顷，容积率为≥1.0，建筑系数为≥40%，建筑限高为≤40m，绿地率为≤20%，普通厂房配建机动车停车位0.2车位/百平米建筑面积，行政办公和生活服务设施配建机动车停车位1.0车位/百平米建筑面积，充电车位占比≥10%。配建非机动车3车位/百平米行政办公和生活服务设施建筑面积，充电车位占比≥15%地块出入口位置东侧、西侧、北侧、南侧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K-03-04为防护绿地（1402），用地面积为3.59公顷，绿地率≥95%。</w:t>
      </w:r>
    </w:p>
    <w:p>
      <w:pPr>
        <w:ind w:firstLine="480"/>
        <w:rPr>
          <w:rFonts w:hint="eastAsia" w:ascii="仿宋" w:hAnsi="仿宋" w:eastAsia="仿宋" w:cs="仿宋"/>
          <w:b/>
          <w:bCs/>
          <w:sz w:val="28"/>
          <w:szCs w:val="28"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8007892"/>
    <w:rsid w:val="0924578C"/>
    <w:rsid w:val="0A154985"/>
    <w:rsid w:val="0DB379D6"/>
    <w:rsid w:val="0E8B3E67"/>
    <w:rsid w:val="0FBB73C9"/>
    <w:rsid w:val="109B38DA"/>
    <w:rsid w:val="15BA6989"/>
    <w:rsid w:val="16065CCE"/>
    <w:rsid w:val="18695B1E"/>
    <w:rsid w:val="199D21E8"/>
    <w:rsid w:val="1A5A1E87"/>
    <w:rsid w:val="1CFB63BF"/>
    <w:rsid w:val="1E116D00"/>
    <w:rsid w:val="1EB55F58"/>
    <w:rsid w:val="1EE02E7D"/>
    <w:rsid w:val="2197576F"/>
    <w:rsid w:val="22606D04"/>
    <w:rsid w:val="233F27B5"/>
    <w:rsid w:val="239F13E0"/>
    <w:rsid w:val="23B83C9F"/>
    <w:rsid w:val="246578D4"/>
    <w:rsid w:val="2624159B"/>
    <w:rsid w:val="2CD91895"/>
    <w:rsid w:val="2D746964"/>
    <w:rsid w:val="30632547"/>
    <w:rsid w:val="330E1609"/>
    <w:rsid w:val="34180991"/>
    <w:rsid w:val="36BD312A"/>
    <w:rsid w:val="37AE58D5"/>
    <w:rsid w:val="3A6B7341"/>
    <w:rsid w:val="3AE315CD"/>
    <w:rsid w:val="3BD641DA"/>
    <w:rsid w:val="3CB00C56"/>
    <w:rsid w:val="3EA846BF"/>
    <w:rsid w:val="418E420F"/>
    <w:rsid w:val="460D3C83"/>
    <w:rsid w:val="46D014AA"/>
    <w:rsid w:val="499C59B7"/>
    <w:rsid w:val="4C207F8B"/>
    <w:rsid w:val="4DDC6AE9"/>
    <w:rsid w:val="4E79582B"/>
    <w:rsid w:val="51A3703C"/>
    <w:rsid w:val="525A1FCE"/>
    <w:rsid w:val="53642E53"/>
    <w:rsid w:val="546E385E"/>
    <w:rsid w:val="55437CC5"/>
    <w:rsid w:val="55B1434A"/>
    <w:rsid w:val="58564E39"/>
    <w:rsid w:val="58CA1889"/>
    <w:rsid w:val="593C315D"/>
    <w:rsid w:val="596516D3"/>
    <w:rsid w:val="5B85605C"/>
    <w:rsid w:val="652D1B5C"/>
    <w:rsid w:val="6BEA5A68"/>
    <w:rsid w:val="70724E9A"/>
    <w:rsid w:val="70BF4B62"/>
    <w:rsid w:val="73CD6075"/>
    <w:rsid w:val="75E55130"/>
    <w:rsid w:val="76D23C75"/>
    <w:rsid w:val="78270EBD"/>
    <w:rsid w:val="7A350AC6"/>
    <w:rsid w:val="7AA240CC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422</Characters>
  <Lines>6</Lines>
  <Paragraphs>1</Paragraphs>
  <TotalTime>8</TotalTime>
  <ScaleCrop>false</ScaleCrop>
  <LinksUpToDate>false</LinksUpToDate>
  <CharactersWithSpaces>422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2023-04-05T01:53:40Z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